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LUKACS</w:t>
            </w:r>
          </w:p>
          <w:p w:rsidR="00C275A3" w:rsidRDefault="00A96AEC" w:rsidP="00C275A3">
            <w:pPr>
              <w:pStyle w:val="Hallgatokepzes"/>
            </w:pPr>
            <w:r>
              <w:t>Chemistry</w:t>
            </w:r>
            <w:r>
              <w:br/>
            </w:r>
            <w:r w:rsidR="00E77B23">
              <w:t>MSc, 1.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Katalin Varnagy</w:t>
            </w:r>
          </w:p>
          <w:p w:rsidR="00DB4822" w:rsidRDefault="00DB4822" w:rsidP="00BA6BAF">
            <w:pPr>
              <w:pStyle w:val="Konzulensektitulus"/>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Cadmium(II)-peptide systems equilibrium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pH-potentiometry; UV-VIS; NMR; coordination; side-chain</w:t>
      </w:r>
      <w:r>
        <w:t xml:space="preserve"/>
      </w:r>
    </w:p>
    <w:p>
      <w:pPr>
        <w:widowControl w:val="on"/>
        <w:pBdr/>
        <w:spacing w:before="240" w:after="240" w:line="240" w:lineRule="auto"/>
        <w:ind w:left="0" w:right="0"/>
        <w:jc w:val="left"/>
      </w:pPr>
      <w:r>
        <w:rPr>
          <w:color w:val="000000"/>
          <w:sz w:val="24"/>
          <w:szCs w:val="24"/>
        </w:rPr>
        <w:t xml:space="preserve">During the measurements we would like to know how can affect thiol and carboxyl groups in the peptide side-chain the cadmium(II) binding property of the ligands. In the case of Ac-Cys-Ser-Ser-Cys-NH</w:t>
      </w:r>
      <w:r>
        <w:rPr>
          <w:color w:val="000000"/>
          <w:position w:val="-4"/>
          <w:sz w:val="21"/>
          <w:szCs w:val="21"/>
          <w:vertAlign w:val="subscript"/>
        </w:rPr>
        <w:t xml:space="preserve">2</w:t>
      </w:r>
      <w:r>
        <w:rPr>
          <w:color w:val="000000"/>
          <w:sz w:val="24"/>
          <w:szCs w:val="24"/>
        </w:rPr>
        <w:t xml:space="preserve"> our aim was the execution of its synthesis and the metal binding properties were planed after it.</w:t>
      </w:r>
      <w:r>
        <w:rPr>
          <w:color w:val="000000"/>
          <w:sz w:val="24"/>
          <w:szCs w:val="24"/>
        </w:rPr>
        <w:br/>
        <w:t xml:space="preserve">Studies of peptides containing Asp/Glu in their sequences show that the interaction between Cd(II)-ion and ligands are small, and the deprotonation of amidnitrogen is not induced in the presence of the metal ion. The strength of interaction in the case of [CdA] complexes of the studied peptides increases in the following order: Asp-Ala &lt; Asp</w:t>
      </w:r>
      <w:r>
        <w:rPr>
          <w:color w:val="000000"/>
          <w:position w:val="-4"/>
          <w:sz w:val="21"/>
          <w:szCs w:val="21"/>
          <w:vertAlign w:val="subscript"/>
        </w:rPr>
        <w:t xml:space="preserve">2</w:t>
      </w:r>
      <w:r>
        <w:rPr>
          <w:color w:val="000000"/>
          <w:sz w:val="24"/>
          <w:szCs w:val="24"/>
        </w:rPr>
        <w:t xml:space="preserve"> &lt; Glu</w:t>
      </w:r>
      <w:r>
        <w:rPr>
          <w:color w:val="000000"/>
          <w:position w:val="-4"/>
          <w:sz w:val="21"/>
          <w:szCs w:val="21"/>
          <w:vertAlign w:val="subscript"/>
        </w:rPr>
        <w:t xml:space="preserve">2</w:t>
      </w:r>
      <w:r>
        <w:rPr>
          <w:color w:val="000000"/>
          <w:sz w:val="24"/>
          <w:szCs w:val="24"/>
        </w:rPr>
        <w:t xml:space="preserve"> ~ Asp-Glu &lt; Asp</w:t>
      </w:r>
      <w:r>
        <w:rPr>
          <w:color w:val="000000"/>
          <w:position w:val="-4"/>
          <w:sz w:val="21"/>
          <w:szCs w:val="21"/>
          <w:vertAlign w:val="subscript"/>
        </w:rPr>
        <w:t xml:space="preserve">3</w:t>
      </w:r>
      <w:r>
        <w:rPr>
          <w:color w:val="000000"/>
          <w:sz w:val="24"/>
          <w:szCs w:val="24"/>
        </w:rPr>
        <w:t xml:space="preserve"> &lt; Asp</w:t>
      </w:r>
      <w:r>
        <w:rPr>
          <w:color w:val="000000"/>
          <w:position w:val="-4"/>
          <w:sz w:val="21"/>
          <w:szCs w:val="21"/>
          <w:vertAlign w:val="subscript"/>
        </w:rPr>
        <w:t xml:space="preserve">4</w:t>
      </w:r>
      <w:r>
        <w:rPr>
          <w:color w:val="000000"/>
          <w:sz w:val="24"/>
          <w:szCs w:val="24"/>
        </w:rPr>
        <w:t xml:space="preserve">. The increscent number of carboxyl groups in the coordination sphere of cadmium(II)ion extends the stabily constans of the formed complexes. The [CdAH] complex is formed in which the amino group is protonated. The increasing of the pH is accompanied with the is deprotonation and coordination of this group ([CdA] complex). Further increasing of the pH results in formation of complex with composition is of [CdAH</w:t>
      </w:r>
      <w:r>
        <w:rPr>
          <w:color w:val="000000"/>
          <w:position w:val="-4"/>
          <w:sz w:val="21"/>
          <w:szCs w:val="21"/>
          <w:vertAlign w:val="subscript"/>
        </w:rPr>
        <w:t xml:space="preserve">-1</w:t>
      </w:r>
      <w:r>
        <w:rPr>
          <w:color w:val="000000"/>
          <w:sz w:val="24"/>
          <w:szCs w:val="24"/>
        </w:rPr>
        <w:t xml:space="preserve">]. This complex is a hidroxo complex and during the process in which deprotonation of the coordinated water molecule takes place. In the titrated samples probably Cd(OH)</w:t>
      </w:r>
      <w:r>
        <w:rPr>
          <w:color w:val="000000"/>
          <w:position w:val="-4"/>
          <w:sz w:val="21"/>
          <w:szCs w:val="21"/>
          <w:vertAlign w:val="subscript"/>
        </w:rPr>
        <w:t xml:space="preserve">2</w:t>
      </w:r>
      <w:r>
        <w:rPr>
          <w:color w:val="000000"/>
          <w:sz w:val="24"/>
          <w:szCs w:val="24"/>
        </w:rPr>
        <w:t xml:space="preserve"> precipitate get separated. When we compare the coordination ability of Cd(II)-ion to those of other metal ions the following order can be observed: Cu(II) &gt; Ni(II) &gt; Zn(II) ~ Co(II) &gt; Cd(II).</w:t>
      </w:r>
      <w:r>
        <w:rPr>
          <w:color w:val="000000"/>
          <w:sz w:val="24"/>
          <w:szCs w:val="24"/>
        </w:rPr>
        <w:br/>
        <w:t xml:space="preserve">After the synthesis of Ac-Cys-Ser-Ser-Cys-NH</w:t>
      </w:r>
      <w:r>
        <w:rPr>
          <w:color w:val="000000"/>
          <w:position w:val="-4"/>
          <w:sz w:val="21"/>
          <w:szCs w:val="21"/>
          <w:vertAlign w:val="subscript"/>
        </w:rPr>
        <w:t xml:space="preserve">2</w:t>
      </w:r>
      <w:r>
        <w:rPr>
          <w:color w:val="000000"/>
          <w:sz w:val="24"/>
          <w:szCs w:val="24"/>
        </w:rPr>
        <w:t xml:space="preserve"> by means of automatic peptid synthetisator the peptide had contained impurity. The purity of the crude peptide was 80%. Some of the molecules had the tertbutyl protecting group in their sequences.</w:t>
      </w:r>
      <w:r>
        <w:rPr>
          <w:color w:val="000000"/>
          <w:sz w:val="24"/>
          <w:szCs w:val="24"/>
        </w:rPr>
        <w:br/>
        <w:t xml:space="preserve">Gly-Cys with Cd(II)-ions forms stable mono and bis(ligand) complexes, in which the coordination takes place via the deprotonated tiolate and carboxylate groups: (S,O) coordination evolves and the amino group does not bind the metal ion. When the complex is neutral ([CdA</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 we can notice the appearance of a precipitate, which precipitate dissolves with the increasing of pH due to the change of the charge of the complex. We studied further the [Cd(Gly-Cys)</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 complex and we were able to support that the complex contains the studied ligand.</w:t>
      </w:r>
      <w:r>
        <w:rPr>
          <w:color w:val="000000"/>
          <w:sz w:val="24"/>
          <w:szCs w:val="24"/>
        </w:rPr>
        <w:br/>
        <w:t xml:space="preserve">During the studies of tetrapeptide precipitate did not get separated none of the cases, which means that the ligandum was able to keep the metal ion in solution. The stability of the cadmium(II) complexes seems to be higher than that of the zinc(II) complexes.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54236">
    <w:multiLevelType w:val="hybridMultilevel"/>
    <w:lvl w:ilvl="0" w:tplc="99917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54236">
    <w:abstractNumId w:val="80554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736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