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PÓSÁN ADRIENN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Várnagy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HisValGlyHis tetrapeptid Cu(II) és Ni(II) komplexeinek a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oldategyensúly; CD-spektroszkópia; UV-látható spektroszkópia; pH-potenciometria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réz és a nikkel valamennyi élő szervezet számára nélkülönözhetetlen nyomelem. A réz a legnagyobb mennyiségben fehérjéhez kötötten fordul elő a szervezetben, míg a nikkel az ureáz nevű enzim aktív centrumában. Redoxireakcióik számos biológiai oxidációs folyamatban játszanak szerepet. Leggyakrabban +2-es oxidációs állapotban képeznek komplexeket. A hisztidin fontos kötési hely a nikkel(II) és a réz(II) számára is. A rendszerek központi ionja valamilyen átmenetifémion, amely koordinatív kötéssel kapcsolódik a ligandumként jelenlévő aminosavhoz, peptidhez, vagy azok származékához.</w:t>
      </w:r>
      <w:r>
        <w:rPr>
          <w:color w:val="000000"/>
          <w:sz w:val="24"/>
          <w:szCs w:val="24"/>
        </w:rPr>
        <w:br/>
        <w:t xml:space="preserve">Munkám során a C-terminálisan védett HisValGlyHis tetrapeptid réz(II) és nikkel(II) komplexeit vizsgáltam. Először előállítottam a HisValGlyHis szekvenciájú aminosavat szilárd fázisú peptidszintézissel. Majd a peptid az oldategyensúlyi vizsgálatát végeztem el. A pH-potenciometriás vizsgálatok alapján SUPERQUAD és PSEQUAD programok segítségével meghatároztam a ligandumok koncentrációját, a protonálódási állandók értékeit és a keletkező komplexek stabilitási állandóit.</w:t>
      </w:r>
      <w:r>
        <w:rPr>
          <w:color w:val="000000"/>
          <w:sz w:val="24"/>
          <w:szCs w:val="24"/>
        </w:rPr>
        <w:br/>
        <w:t xml:space="preserve">A pH-potenciometriás mérések alapján megállapítható, hogy a réz(II)-ion jelenlétében monokomplexek ([CuLH]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[CuL]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[CuLH</w:t>
      </w:r>
      <w:r>
        <w:rPr>
          <w:color w:val="000000"/>
          <w:position w:val="-4"/>
          <w:sz w:val="21"/>
          <w:szCs w:val="21"/>
          <w:vertAlign w:val="subscript"/>
        </w:rPr>
        <w:t xml:space="preserve">–1</w:t>
      </w:r>
      <w:r>
        <w:rPr>
          <w:color w:val="000000"/>
          <w:sz w:val="24"/>
          <w:szCs w:val="24"/>
        </w:rPr>
        <w:t xml:space="preserve">], [CuLH</w:t>
      </w:r>
      <w:r>
        <w:rPr>
          <w:color w:val="000000"/>
          <w:position w:val="-4"/>
          <w:sz w:val="21"/>
          <w:szCs w:val="21"/>
          <w:vertAlign w:val="subscript"/>
        </w:rPr>
        <w:t xml:space="preserve">–2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 és [CuLH</w:t>
      </w:r>
      <w:r>
        <w:rPr>
          <w:color w:val="000000"/>
          <w:position w:val="-4"/>
          <w:sz w:val="21"/>
          <w:szCs w:val="21"/>
          <w:vertAlign w:val="subscript"/>
        </w:rPr>
        <w:t xml:space="preserve">–3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2-</w:t>
      </w:r>
      <w:r>
        <w:rPr>
          <w:color w:val="000000"/>
          <w:sz w:val="24"/>
          <w:szCs w:val="24"/>
        </w:rPr>
        <w:t xml:space="preserve">) és egy biszkomplex ([CuL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﻿]</w:t>
      </w:r>
      <w:r>
        <w:rPr>
          <w:color w:val="000000"/>
          <w:sz w:val="24"/>
          <w:szCs w:val="24"/>
        </w:rPr>
        <w:t xml:space="preserve">); míg a nikkel esetében [NiLH]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,[NiL]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[NiL2], [NiLH</w:t>
      </w:r>
      <w:r>
        <w:rPr>
          <w:color w:val="000000"/>
          <w:position w:val="-4"/>
          <w:sz w:val="21"/>
          <w:szCs w:val="21"/>
          <w:vertAlign w:val="subscript"/>
        </w:rPr>
        <w:t xml:space="preserve">–1</w:t>
      </w:r>
      <w:r>
        <w:rPr>
          <w:color w:val="000000"/>
          <w:sz w:val="24"/>
          <w:szCs w:val="24"/>
        </w:rPr>
        <w:t xml:space="preserve">], [NiLH</w:t>
      </w:r>
      <w:r>
        <w:rPr>
          <w:color w:val="000000"/>
          <w:position w:val="-4"/>
          <w:sz w:val="21"/>
          <w:szCs w:val="21"/>
          <w:vertAlign w:val="subscript"/>
        </w:rPr>
        <w:t xml:space="preserve">–3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 komplexek keletkeznek. Az ML és ML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összetételű komplexekben a ligandum háromfogú koordinációja jön létre. A pH emelésével az amidnitrogén deprotonálódik,. A nikkel(II)ion esetében pH 9 felett izomer szerkezeteket nem feltételezünk.</w:t>
      </w:r>
      <w:r>
        <w:rPr>
          <w:color w:val="000000"/>
          <w:sz w:val="24"/>
          <w:szCs w:val="24"/>
        </w:rPr>
        <w:br/>
        <w:t xml:space="preserve">Az UV-látható fotometriás és CD-vizsgálatok alátámasztották a feltételezett szerkezetű komplexek jelenlétét.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93214">
    <w:multiLevelType w:val="hybridMultilevel"/>
    <w:lvl w:ilvl="0" w:tplc="22655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93214">
    <w:abstractNumId w:val="83093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891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