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PÓSÁN</w:t>
            </w:r>
          </w:p>
          <w:p w:rsidR="00C275A3" w:rsidRDefault="00A96AEC" w:rsidP="00C275A3">
            <w:pPr>
              <w:pStyle w:val="Hallgatokepzes"/>
            </w:pPr>
            <w:r>
              <w:t>Chemical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Várnagy</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Studies of copper(II) and nickel(II) compexes of HisValGlyHis tetrapeptide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solution equilibrium; CD-spectroscopy; UV-Visible spectroscopy; pH-potentiometry</w:t>
      </w:r>
      <w:r>
        <w:t xml:space="preserve"/>
      </w:r>
    </w:p>
    <w:p>
      <w:pPr>
        <w:widowControl w:val="on"/>
        <w:pBdr/>
        <w:spacing w:before="240" w:after="240" w:line="240" w:lineRule="auto"/>
        <w:ind w:left="0" w:right="0"/>
        <w:jc w:val="left"/>
      </w:pPr>
      <w:r>
        <w:rPr>
          <w:color w:val="000000"/>
          <w:sz w:val="24"/>
          <w:szCs w:val="24"/>
        </w:rPr>
        <w:t xml:space="preserve">The copper and nickel are invaluable trace elements in all living organisms. Copper bounds usually proteins in the body, whereas the nickel is in the active site of an enzyme called urease. Redox reactions play a role in many biological oxidation process. Complexes are formed most often with +2 oxidation state. Histidine is important binding site for the nickel(II) and copper(II). The complexes which can mimic these interactions contain transition metal ion as central metal ion and amino acids or peptides as ligands.</w:t>
      </w:r>
      <w:r>
        <w:rPr>
          <w:color w:val="000000"/>
          <w:sz w:val="24"/>
          <w:szCs w:val="24"/>
        </w:rPr>
        <w:br/>
        <w:t xml:space="preserve">During my work I studied the copper(II) and nickel(II) complexes of a C-termini protected tetrapeptide (HVGH). In the first step I synthesized a tetrapeptid containig two histidine amino acids. The synthesis was performed by means of automated peptide synthesizer based upon the solid phase peptide synthesis. After that the equilibrium studies of the complexes of this peptide were carried out. Based on the pH-potentiometric measurements I determined the concentration and protonation constants of the ligands and the stability constants of metal complexes using SUPERQUAD and PSEQUAD computer programs.</w:t>
      </w:r>
      <w:r>
        <w:rPr>
          <w:color w:val="000000"/>
          <w:sz w:val="24"/>
          <w:szCs w:val="24"/>
        </w:rPr>
        <w:br/>
        <w:t xml:space="preserve">Based on the pH-potentiometric measurements it can be confirm that the copper(II) ion forms monocomplexes ([CuLH]</w:t>
      </w:r>
      <w:r>
        <w:rPr>
          <w:color w:val="000000"/>
          <w:position w:val="4"/>
          <w:sz w:val="21"/>
          <w:szCs w:val="21"/>
          <w:vertAlign w:val="superscript"/>
        </w:rPr>
        <w:t xml:space="preserve">2+</w:t>
      </w:r>
      <w:r>
        <w:rPr>
          <w:color w:val="000000"/>
          <w:sz w:val="24"/>
          <w:szCs w:val="24"/>
        </w:rPr>
        <w:t xml:space="preserve">, [CuL]</w:t>
      </w:r>
      <w:r>
        <w:rPr>
          <w:color w:val="000000"/>
          <w:position w:val="4"/>
          <w:sz w:val="21"/>
          <w:szCs w:val="21"/>
          <w:vertAlign w:val="superscript"/>
        </w:rPr>
        <w:t xml:space="preserve">+</w:t>
      </w:r>
      <w:r>
        <w:rPr>
          <w:color w:val="000000"/>
          <w:sz w:val="24"/>
          <w:szCs w:val="24"/>
        </w:rPr>
        <w:t xml:space="preserve">, [CuLH</w:t>
      </w:r>
      <w:r>
        <w:rPr>
          <w:color w:val="000000"/>
          <w:position w:val="-4"/>
          <w:sz w:val="21"/>
          <w:szCs w:val="21"/>
          <w:vertAlign w:val="subscript"/>
        </w:rPr>
        <w:t xml:space="preserve">–1</w:t>
      </w:r>
      <w:r>
        <w:rPr>
          <w:color w:val="000000"/>
          <w:sz w:val="24"/>
          <w:szCs w:val="24"/>
        </w:rPr>
        <w:t xml:space="preserve">], [CuLH</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perscript"/>
        </w:rPr>
        <w:t xml:space="preserve">-</w:t>
      </w:r>
      <w:r>
        <w:rPr>
          <w:color w:val="000000"/>
          <w:sz w:val="24"/>
          <w:szCs w:val="24"/>
        </w:rPr>
        <w:t xml:space="preserve"> és [CuLH</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and a bis(ligand) complex ([CuL</w:t>
      </w:r>
      <w:r>
        <w:rPr>
          <w:color w:val="000000"/>
          <w:position w:val="-4"/>
          <w:sz w:val="21"/>
          <w:szCs w:val="21"/>
          <w:vertAlign w:val="subscript"/>
        </w:rPr>
        <w:t xml:space="preserve">2</w:t>
      </w:r>
      <w:r>
        <w:rPr>
          <w:color w:val="000000"/>
          <w:sz w:val="24"/>
          <w:szCs w:val="24"/>
        </w:rPr>
        <w:t xml:space="preserve">]); while for nickel [NiLH]</w:t>
      </w:r>
      <w:r>
        <w:rPr>
          <w:color w:val="000000"/>
          <w:position w:val="4"/>
          <w:sz w:val="21"/>
          <w:szCs w:val="21"/>
          <w:vertAlign w:val="superscript"/>
        </w:rPr>
        <w:t xml:space="preserve">2+</w:t>
      </w:r>
      <w:r>
        <w:rPr>
          <w:color w:val="000000"/>
          <w:sz w:val="24"/>
          <w:szCs w:val="24"/>
        </w:rPr>
        <w:t xml:space="preserve">, [NiL]</w:t>
      </w:r>
      <w:r>
        <w:rPr>
          <w:color w:val="000000"/>
          <w:position w:val="4"/>
          <w:sz w:val="21"/>
          <w:szCs w:val="21"/>
          <w:vertAlign w:val="superscript"/>
        </w:rPr>
        <w:t xml:space="preserve">+</w:t>
      </w:r>
      <w:r>
        <w:rPr>
          <w:color w:val="000000"/>
          <w:sz w:val="24"/>
          <w:szCs w:val="24"/>
        </w:rPr>
        <w:t xml:space="preserve">, [NiL</w:t>
      </w:r>
      <w:r>
        <w:rPr>
          <w:color w:val="000000"/>
          <w:position w:val="-4"/>
          <w:sz w:val="21"/>
          <w:szCs w:val="21"/>
          <w:vertAlign w:val="subscript"/>
        </w:rPr>
        <w:t xml:space="preserve">2</w:t>
      </w:r>
      <w:r>
        <w:rPr>
          <w:color w:val="000000"/>
          <w:sz w:val="24"/>
          <w:szCs w:val="24"/>
        </w:rPr>
        <w:t xml:space="preserve">], [NiLH</w:t>
      </w:r>
      <w:r>
        <w:rPr>
          <w:color w:val="000000"/>
          <w:position w:val="-4"/>
          <w:sz w:val="21"/>
          <w:szCs w:val="21"/>
          <w:vertAlign w:val="subscript"/>
        </w:rPr>
        <w:t xml:space="preserve">–1</w:t>
      </w:r>
      <w:r>
        <w:rPr>
          <w:color w:val="000000"/>
          <w:sz w:val="24"/>
          <w:szCs w:val="24"/>
        </w:rPr>
        <w:t xml:space="preserve">], [NiLH</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complexes are formed. ML and ML2 complexes are created tridentate coordination of the ligand. Increasing the pH the successive deprotonation and coordination of amide nitrogens takes place. In case of nickel(II) ions we did not assume isomer structures over at pH 9.</w:t>
      </w:r>
      <w:r>
        <w:rPr>
          <w:color w:val="000000"/>
          <w:sz w:val="24"/>
          <w:szCs w:val="24"/>
        </w:rPr>
        <w:br/>
        <w:t xml:space="preserve">The supposed structures of the complexes were confirmed by UV-visible spectrophotometry and CD spectroscopy.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16566">
    <w:multiLevelType w:val="hybridMultilevel"/>
    <w:lvl w:ilvl="0" w:tplc="13420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16566">
    <w:abstractNumId w:val="89316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8223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