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TAKÁCS</w:t>
            </w:r>
          </w:p>
          <w:p w:rsidR="00C275A3" w:rsidRDefault="00A96AEC" w:rsidP="00C275A3">
            <w:pPr>
              <w:pStyle w:val="Hallgatokepzes"/>
            </w:pPr>
            <w:r>
              <w:t>Chemical Engineer</w:t>
            </w:r>
            <w:r>
              <w:br/>
            </w:r>
            <w:r w:rsidR="00E77B23">
              <w:t>BSc, 7.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Várnagy</w:t>
            </w:r>
          </w:p>
          <w:p w:rsidR="00DB4822" w:rsidRDefault="00DB4822" w:rsidP="00BA6BAF">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side chains on complexation properties of tetrapeptides containnig two histidines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tetrapeptide; transition metal; complex; histidine</w:t>
      </w:r>
      <w:r>
        <w:t xml:space="preserve"/>
      </w:r>
    </w:p>
    <w:p>
      <w:pPr>
        <w:widowControl w:val="on"/>
        <w:pBdr/>
        <w:spacing w:before="240" w:after="240" w:line="240" w:lineRule="auto"/>
        <w:ind w:left="0" w:right="0"/>
        <w:jc w:val="left"/>
      </w:pPr>
      <w:r>
        <w:rPr>
          <w:color w:val="000000"/>
          <w:sz w:val="24"/>
          <w:szCs w:val="24"/>
        </w:rPr>
        <w:t xml:space="preserve">Copper(II), zinc(II) and nickel(II) ions are essential trace elements for humans and animals. However cadmium(II) ion is similar but carcinogenic element. These metal ions are bound to proteins. Because of the large size of proteins metal ions can bind to the side chain donor atoms.</w:t>
      </w:r>
    </w:p>
    <w:p>
      <w:pPr>
        <w:widowControl w:val="on"/>
        <w:pBdr/>
        <w:spacing w:before="240" w:after="240" w:line="240" w:lineRule="auto"/>
        <w:ind w:left="0" w:right="0"/>
        <w:jc w:val="left"/>
      </w:pPr>
      <w:r>
        <w:rPr>
          <w:color w:val="000000"/>
          <w:sz w:val="24"/>
          <w:szCs w:val="24"/>
        </w:rPr>
        <w:br/>
        <w:t xml:space="preserve">The most important binding site for transition metal ions is the imidaazol donor group of the side chain in histidine. The sructure of it’s complexes is determined by the number and location of histidine in the amino acid sequence and position of other side chains.</w:t>
      </w:r>
    </w:p>
    <w:p>
      <w:pPr>
        <w:widowControl w:val="on"/>
        <w:pBdr/>
        <w:spacing w:before="240" w:after="240" w:line="240" w:lineRule="auto"/>
        <w:ind w:left="0" w:right="0"/>
        <w:jc w:val="left"/>
      </w:pPr>
      <w:r>
        <w:rPr>
          <w:color w:val="000000"/>
          <w:sz w:val="24"/>
          <w:szCs w:val="24"/>
        </w:rPr>
        <w:br/>
        <w:t xml:space="preserve">During my work I synthesized a C-termini protected tetrapeptide containing two histidine amino acids (HAAH). The synthesis was performed by means of automated microwave operating peptide synthesizer based upon the solid phase peptide synthesis. The purity of peptide was controlled by HPLC and 1HNMR. I used pH-potentiometric, UV-vis spectrophotometric and CD-spectroscopic methods for studies of nickel(II), zinc(II) and cadmium(II) complexes of the peptide.</w:t>
      </w:r>
    </w:p>
    <w:p>
      <w:pPr>
        <w:widowControl w:val="on"/>
        <w:pBdr/>
        <w:spacing w:before="240" w:after="240" w:line="240" w:lineRule="auto"/>
        <w:ind w:left="0" w:right="0"/>
        <w:jc w:val="left"/>
      </w:pPr>
      <w:r>
        <w:rPr>
          <w:color w:val="000000"/>
          <w:sz w:val="24"/>
          <w:szCs w:val="24"/>
        </w:rPr>
        <w:br/>
        <w:t xml:space="preserve">Based on the pH-potentiometry data we supposed the formation of 1:1, bis(ligand) and polynuclear complexes. At acidic pH-range metal ions bind to the N-terminal part of the molecule (histamine-like coordination). Increasing the pH the imidazole ring on the C-termini is deprotonated and coordinated. Then in the zinc(II)- and cadmium(II)-HAAH sollutions persence of precipitation was observed. In case of nickel(II) complexes at higher pH the deprotonation and coordination of the three amidnitrogens occur in one step. In case of excess of ligands the high ammount of bis(ligand) complexes shifts this process in the higher pH-range. The coordination sphere of nickel(II) ion is saturated by the three amide nitrogens and the amino group. Thus the C-termini imidazole nitrogen cannot coordinate to the metal ion in the [NiAH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structure.</w:t>
      </w:r>
    </w:p>
    <w:p>
      <w:pPr>
        <w:widowControl w:val="on"/>
        <w:pBdr/>
        <w:spacing w:before="240" w:after="240" w:line="240" w:lineRule="auto"/>
        <w:ind w:left="0" w:right="0"/>
        <w:jc w:val="left"/>
      </w:pPr>
      <w:r>
        <w:rPr>
          <w:color w:val="000000"/>
          <w:sz w:val="24"/>
          <w:szCs w:val="24"/>
        </w:rPr>
        <w:br/>
        <w:t xml:space="preserve">In case of excess of copper(II) ions we suppose the formation of trinuclear complexes.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04214">
    <w:multiLevelType w:val="hybridMultilevel"/>
    <w:lvl w:ilvl="0" w:tplc="96669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04214">
    <w:abstractNumId w:val="19504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174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