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SÁNDOR LAJOS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4-amino-4’-izocianobifenil származékok, mint potenciális szolvatokróm fluoroforok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fluoreszcencia, intelligens molekula, benzidin, Kamlet-Taft, komplexképződés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új, sokoldalúan felhasználható „intelligens” fluoreszcens anyagok fejlesztése napjaink egyik legnagyobb kihívása. Az ilyen anyagok közé tartoznak a szolvatokróm fluoreszcens vegyületek is, melyek a környezettel való kölcsönhatásnak megfelelően képesek az emittált fény hullámhosszát és/vagy intenzitását változtatni. Ezek között is különösen jelentősek a kék fényt emittáló anyagok ugyanis megfelelő szűrők/festékanyagok segítségével bármilyen szín előállítható segítségükkel.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új, hatékony, 4-amino-4’-izocianobifenil (ICAB) alapú vegyületcsaládot fejlesztettünk ki a jól ismert benzidint használva kiindulási anyagként. Az előállított anyagok floureszcenciás tulajdonságait UV-látható és floureszcencia spektroszkópiával vizsgáltuk. Az izociano csoport bevitele a molekulán belül létrejövő töltésmegoszlás miatt jelentős batokróm eltolódást okozott az abszorpciós maximum helyzetében az UV spektrumban a benzidinhez képest (279 nm vs 301 nm, hexánban), amit az amino csoport metilezésével tovább tudtunk növelni (monometil származék (monoMICAB) esetében 313 nm-re, dimetil származék (diMICAB) esetén 323 nm-re). Az emissziós spektrumokban sokkal kifejezettebben jelenik meg ez az effektus. Míg a benzidin nem mutatott szolvatokróm tulajdonságokat (eltolódása Δλ</w:t>
      </w:r>
      <w:r>
        <w:rPr>
          <w:color w:val="000000"/>
          <w:position w:val="-4"/>
          <w:sz w:val="21"/>
          <w:szCs w:val="21"/>
          <w:vertAlign w:val="subscript"/>
        </w:rPr>
        <w:t xml:space="preserve">em,max</w:t>
      </w:r>
      <w:r>
        <w:rPr>
          <w:color w:val="000000"/>
          <w:sz w:val="24"/>
          <w:szCs w:val="24"/>
        </w:rPr>
        <w:t xml:space="preserve">~30 nm), ICAB-nál ez az érték jelentősen megnőtt Δ</w:t>
      </w:r>
      <w:r>
        <w:rPr>
          <w:color w:val="000000"/>
          <w:position w:val="-4"/>
          <w:sz w:val="21"/>
          <w:szCs w:val="21"/>
          <w:vertAlign w:val="subscript"/>
        </w:rPr>
        <w:t xml:space="preserve">λem,max</w:t>
      </w:r>
      <w:r>
        <w:rPr>
          <w:color w:val="000000"/>
          <w:sz w:val="24"/>
          <w:szCs w:val="24"/>
        </w:rPr>
        <w:t xml:space="preserve">~104 nm az izociano csoport bevitelének köszönhetően a molekulába. monoMICAB és diMICAB esetében is hasonlóan kiváló szolvatokróm tartományokat kaptunk: Δλ</w:t>
      </w:r>
      <w:r>
        <w:rPr>
          <w:color w:val="000000"/>
          <w:position w:val="-4"/>
          <w:sz w:val="21"/>
          <w:szCs w:val="21"/>
          <w:vertAlign w:val="subscript"/>
        </w:rPr>
        <w:t xml:space="preserve">em,max</w:t>
      </w:r>
      <w:r>
        <w:rPr>
          <w:color w:val="000000"/>
          <w:sz w:val="24"/>
          <w:szCs w:val="24"/>
        </w:rPr>
        <w:t xml:space="preserve">~92 nm és Δλ</w:t>
      </w:r>
      <w:r>
        <w:rPr>
          <w:color w:val="000000"/>
          <w:position w:val="-4"/>
          <w:sz w:val="21"/>
          <w:szCs w:val="21"/>
          <w:vertAlign w:val="subscript"/>
        </w:rPr>
        <w:t xml:space="preserve">em,max</w:t>
      </w:r>
      <w:r>
        <w:rPr>
          <w:color w:val="000000"/>
          <w:sz w:val="24"/>
          <w:szCs w:val="24"/>
        </w:rPr>
        <w:t xml:space="preserve">~90 nm. A diMICAB esetében az emittált fény a látható kék tartományba esett, lehetőséget teremtve a molekula gyakorlati felhasználására hétköznapi fluoreszcens alkalmazásokban.</w:t>
      </w:r>
      <w:r>
        <w:rPr>
          <w:color w:val="000000"/>
          <w:sz w:val="24"/>
          <w:szCs w:val="24"/>
        </w:rPr>
        <w:br/>
        <w:t xml:space="preserve">A szolvatokróm viselkedés jellemzésére a KamletTaft-, illetve a Catalán-elmélet bizonyult hatékonynak. ICAB és monometilezett származéka esetén fluoreszcenciás kvencselődést figyeltünk meg, amit a szabad hidrogént tartalmazó NH csoport és a piridin közötti hidrogén kötéses komplex kialakulásával magyaráztunk.</w:t>
      </w:r>
      <w:r>
        <w:rPr>
          <w:color w:val="000000"/>
          <w:sz w:val="24"/>
          <w:szCs w:val="24"/>
        </w:rPr>
        <w:br/>
        <w:t xml:space="preserve">Az ICAB származékok floureszcenciás tulajdonságait kvantumkémiai számítások segítségével értelmeztük. Megállapítottuk, hogy az 1-1’ kötés körüli szabad rotáció gátolja az egész molekulára kiterjedő konjugációt, ezáltal jelentősen befolyásolja az emissziós tulajdonságokat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30807">
    <w:multiLevelType w:val="hybridMultilevel"/>
    <w:lvl w:ilvl="0" w:tplc="62771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30807">
    <w:abstractNumId w:val="26430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977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