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LAJOS KOVÁCS</w:t>
            </w:r>
          </w:p>
          <w:p w:rsidR="00C275A3" w:rsidRDefault="00A96AEC" w:rsidP="00C275A3">
            <w:pPr>
              <w:pStyle w:val="Hallgatokepzes"/>
            </w:pPr>
            <w:r>
              <w:t>chemical engeneer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Nagy</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4-amino-4'-isocyanobiphenyl derivates, as potential solvatochromic fluorophores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fluorescence, smart molecule, benzidine, Kamlet-Taft, complex formation</w:t>
      </w:r>
      <w:r>
        <w:t xml:space="preserve"/>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development of new and versatile "smart" fluorescent materials is one of the greatest challenges novadays. Solvatochromic fluorescent compounds are one type of them, which are capable of changing the wavelength and/or intensity of the emitted light depending on the interaction with the environment. Among them blue-emitting materials have particular importance since using appropriate filters/dyes they can be used for the production of all colors.</w:t>
      </w:r>
      <w:r>
        <w:rPr>
          <w:color w:val="000000"/>
          <w:sz w:val="24"/>
          <w:szCs w:val="24"/>
        </w:rPr>
        <w:br/>
        <w:t xml:space="preserve">A new, efficient, 4-amino-4'-isocyanobiphenyl (ICAB) based family of compounds has been developed using the well-known benzidine as starting material. Fluorescent properties of the materials were investigated by UV-Vis spectroscopy and fluorescence spectroscopy. By introducing the isocyanide group a significant bathochromic shift was observed in the position of the absorption maximum in the UV spectrum compared to that of benzidine (279 nm vs. 301 nm in hexane), because of the internal charge separation in the molecule, which could be further increased by the methylation of the amino group (313 nm for the mono-methyl derivative (monoMICAB), 323 nm for the dimethyl derivative (diMICAB)). This effect was much more pronounced in case of the emission spectra. While benzidine did not show solvatochromic properties (the shift was Δλ</w:t>
      </w:r>
      <w:r>
        <w:rPr>
          <w:color w:val="000000"/>
          <w:position w:val="-4"/>
          <w:sz w:val="21"/>
          <w:szCs w:val="21"/>
          <w:vertAlign w:val="subscript"/>
        </w:rPr>
        <w:t xml:space="preserve">em,max</w:t>
      </w:r>
      <w:r>
        <w:rPr>
          <w:color w:val="000000"/>
          <w:sz w:val="24"/>
          <w:szCs w:val="24"/>
        </w:rPr>
        <w:t xml:space="preserve">~30 nm), in case of ICAB this value increased significantly to Δλ</w:t>
      </w:r>
      <w:r>
        <w:rPr>
          <w:color w:val="000000"/>
          <w:position w:val="-4"/>
          <w:sz w:val="21"/>
          <w:szCs w:val="21"/>
          <w:vertAlign w:val="subscript"/>
        </w:rPr>
        <w:t xml:space="preserve">em,max</w:t>
      </w:r>
      <w:r>
        <w:rPr>
          <w:color w:val="000000"/>
          <w:sz w:val="24"/>
          <w:szCs w:val="24"/>
        </w:rPr>
        <w:t xml:space="preserve">~104 nm, owing to the introduction of the the isocyanide group in the molecule. A similar excellent solvatochromic range was obtained for diMICAB and monoMICAB: Δλ</w:t>
      </w:r>
      <w:r>
        <w:rPr>
          <w:color w:val="000000"/>
          <w:position w:val="-4"/>
          <w:sz w:val="21"/>
          <w:szCs w:val="21"/>
          <w:vertAlign w:val="subscript"/>
        </w:rPr>
        <w:t xml:space="preserve">em</w:t>
      </w:r>
      <w:r>
        <w:rPr>
          <w:color w:val="000000"/>
          <w:sz w:val="24"/>
          <w:szCs w:val="24"/>
        </w:rPr>
        <w:t xml:space="preserve">~92 nm and Δλ</w:t>
      </w:r>
      <w:r>
        <w:rPr>
          <w:color w:val="000000"/>
          <w:position w:val="-4"/>
          <w:sz w:val="21"/>
          <w:szCs w:val="21"/>
          <w:vertAlign w:val="subscript"/>
        </w:rPr>
        <w:t xml:space="preserve">em</w:t>
      </w:r>
      <w:r>
        <w:rPr>
          <w:color w:val="000000"/>
          <w:sz w:val="24"/>
          <w:szCs w:val="24"/>
        </w:rPr>
        <w:t xml:space="preserve">~90 nm, respectively. In the case of diMICAB the emitted light was in the blue range of the visible spectrum in every solvent investigated, allowing practical use in everyday applications as fluorescent molecules.</w:t>
      </w:r>
      <w:r>
        <w:rPr>
          <w:color w:val="000000"/>
          <w:sz w:val="24"/>
          <w:szCs w:val="24"/>
        </w:rPr>
        <w:br/>
        <w:t xml:space="preserve">The solvatochromic behavior was characterized by the KamletTaft- and Catalán theories which proved to be effective. In the case of ICAB and its monomethylated derivative quenching of fluorescence was observed because the free hydrogen of the NH group and the pyridine formed hydrogen-bonded complex.</w:t>
      </w:r>
      <w:r>
        <w:rPr>
          <w:color w:val="000000"/>
          <w:sz w:val="24"/>
          <w:szCs w:val="24"/>
        </w:rPr>
        <w:br/>
        <w:t xml:space="preserve">To exlpain the fluorescent properties of the ICAB derivates quantum chemical calculations were carried out. We found that the free rotation around the 1-1’ bond inhibits conjugation covering the whole molecule, thereby significantly affecting the emission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54401">
    <w:multiLevelType w:val="hybridMultilevel"/>
    <w:lvl w:ilvl="0" w:tplc="60986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54401">
    <w:abstractNumId w:val="52854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71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