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KOVÁCS</w:t>
            </w:r>
          </w:p>
          <w:p w:rsidR="00C275A3" w:rsidRDefault="00A96AEC" w:rsidP="00C275A3">
            <w:pPr>
              <w:pStyle w:val="Hallgatokepzes"/>
            </w:pPr>
            <w:r>
              <w:t>Chemistry</w:t>
            </w:r>
            <w:r>
              <w:br/>
            </w:r>
            <w:r w:rsidR="00E77B23">
              <w:t>BSc, 5. semester</w:t>
            </w:r>
          </w:p>
          <w:p w:rsidR="00C265CE" w:rsidRPr="009E5FF1" w:rsidRDefault="00E77B23" w:rsidP="00BA6BAF">
            <w:pPr>
              <w:pStyle w:val="Hallgatointezmeny-kar"/>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Attila Mándi</w:t>
            </w:r>
          </w:p>
          <w:p w:rsidR="00DB4822" w:rsidRDefault="00DB4822" w:rsidP="00BA6BAF">
            <w:pPr>
              <w:pStyle w:val="Konzulensektitulus"/>
            </w:pPr>
            <w:r w:rsidRPr="00DB4822">
              <w:t>research fellow, DE TTK</w:t>
            </w:r>
          </w:p>
        </w:tc>
      </w:tr>
      <w:tr w:rsidR="00DB4822" w:rsidTr="00DB4822">
        <w:tc>
          <w:tcPr>
            <w:tcW w:w="9854" w:type="dxa"/>
          </w:tcPr>
          <w:p w:rsidR="00DB4822" w:rsidRPr="00DB4822" w:rsidRDefault="00DB4822" w:rsidP="00BA6BAF">
            <w:pPr>
              <w:pStyle w:val="Konzulenseknev"/>
            </w:pPr>
            <w:r w:rsidRPr="00DB4822">
              <w:t>Dr. Tibor Kurtán</w:t>
            </w:r>
          </w:p>
          <w:p w:rsidR="00DB4822" w:rsidRDefault="00DB4822" w:rsidP="00BA6BAF">
            <w:pPr>
              <w:pStyle w:val="Konzulensektitulus"/>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Conformational and TDDFT-ECD study of flexible molecules with quatum chemical methods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DFT conformational analysis; TDDFT-ECD calculation; absolute configuration; conformation; three-bond proton-proton NMR coupling constant</w:t>
      </w:r>
      <w:r>
        <w:t xml:space="preserve"/>
      </w:r>
    </w:p>
    <w:p>
      <w:pPr>
        <w:widowControl w:val="on"/>
        <w:pBdr/>
        <w:spacing w:before="240" w:after="240" w:line="240" w:lineRule="auto"/>
        <w:ind w:left="0" w:right="0"/>
        <w:jc w:val="left"/>
      </w:pPr>
      <w:r>
        <w:rPr>
          <w:color w:val="000000"/>
          <w:sz w:val="24"/>
          <w:szCs w:val="24"/>
        </w:rPr>
        <w:t xml:space="preserve">In the frame of my scientific student research work, I carried out the quantum chemical calculations of derivatives 19, 20 and 24 in order to determine or correlate the structures of their conformers, electronic circural dichroism (ECD) spectra and in case of compound 24, the three-bond proton-proton NMR coupling constant data with the experimental values.</w:t>
      </w:r>
    </w:p>
    <w:p>
      <w:pPr>
        <w:widowControl w:val="on"/>
        <w:pBdr/>
        <w:spacing w:before="240" w:after="240" w:line="240" w:lineRule="auto"/>
        <w:ind w:left="0" w:right="0"/>
        <w:jc w:val="left"/>
      </w:pPr>
      <w:r>
        <w:rPr>
          <w:color w:val="000000"/>
          <w:sz w:val="24"/>
          <w:szCs w:val="24"/>
        </w:rPr>
        <w:drawing>
          <wp:inline distT="0" distB="0" distL="0" distR="0">
            <wp:extent cx="3592800" cy="1137600"/>
            <wp:docPr id="47386137" name="name1550022ec32b4f" descr="imgtmp_33570_int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33570_int_1.png"/>
                    <pic:cNvPicPr/>
                  </pic:nvPicPr>
                  <pic:blipFill>
                    <a:blip r:embed="rId1550022ec32af1" cstate="print"/>
                    <a:stretch>
                      <a:fillRect/>
                    </a:stretch>
                  </pic:blipFill>
                  <pic:spPr>
                    <a:xfrm>
                      <a:off x="0" y="0"/>
                      <a:ext cx="3592800" cy="1137600"/>
                    </a:xfrm>
                    <a:prstGeom prst="rect">
                      <a:avLst/>
                    </a:prstGeom>
                    <a:ln w="0">
                      <a:noFill/>
                    </a:ln>
                  </pic:spPr>
                </pic:pic>
              </a:graphicData>
            </a:graphic>
          </wp:inline>
        </w:drawing>
      </w:r>
    </w:p>
    <w:p>
      <w:pPr>
        <w:widowControl w:val="on"/>
        <w:pBdr/>
        <w:spacing w:before="240" w:after="240" w:line="240" w:lineRule="auto"/>
        <w:ind w:left="0" w:right="0"/>
        <w:jc w:val="left"/>
      </w:pPr>
      <w:r>
        <w:rPr>
          <w:color w:val="000000"/>
          <w:sz w:val="24"/>
          <w:szCs w:val="24"/>
        </w:rPr>
        <w:t xml:space="preserve">1. Compounds (+)-19 and (-)-20 are obtained in an enatioselective sythetic sequence, and they are intermediates in the preparation of optically active flavanolignans.The DFT conformational analysis of there compounds was achived with several methods in vacuo and with PCM solvent model. The TDDFT-ECD spectra were calculated with different methods for the computed conformers, and the Boltzmann-weighted ECD spectra were compared with the experimental ones allowing the assingment of the absolute configuration. This was in accordance with the absolute configurations expected int he enantioselective reaction scheme as well as with the benzodioxans ECD helicity rule of derivative 19.</w:t>
      </w:r>
    </w:p>
    <w:p>
      <w:pPr>
        <w:widowControl w:val="on"/>
        <w:pBdr/>
        <w:spacing w:before="240" w:after="240" w:line="240" w:lineRule="auto"/>
        <w:ind w:left="0" w:right="0"/>
        <w:jc w:val="left"/>
      </w:pPr>
      <w:r>
        <w:rPr>
          <w:color w:val="000000"/>
          <w:sz w:val="24"/>
          <w:szCs w:val="24"/>
        </w:rPr>
        <w:t xml:space="preserve">2. The experimental value of the three-bond proton-proton NMR coupling constant of (-)-20 was unusally low (7.4 Hz), which apparnetly was in accordance of the trans-diaxial arrangment of there protons. By the DFT calculations of the coupling constant, it was confrmed that the unexpected low value of this coupling constant corraborated the deduced conformation and relative configuration of (-)-20. The low value was attributed to the effect of the electron-withdrawing substituents atached to C-2 and C-3.</w:t>
      </w:r>
    </w:p>
    <w:p>
      <w:pPr>
        <w:widowControl w:val="on"/>
        <w:pBdr/>
        <w:spacing w:before="240" w:after="240" w:line="240" w:lineRule="auto"/>
        <w:ind w:left="0" w:right="0"/>
        <w:jc w:val="left"/>
      </w:pPr>
      <w:r>
        <w:rPr>
          <w:color w:val="000000"/>
          <w:sz w:val="24"/>
          <w:szCs w:val="24"/>
        </w:rPr>
        <w:t xml:space="preserve">3. Int he case of compound 24, DFT conformational analysis was achived with several different methods to reproduce the conformers with planar chirality equelibrating with achiral forma s determinated by chiral HPLC analysis, HPLC-ECD and NMR measurments.</w:t>
      </w:r>
    </w:p>
    <w:p>
      <w:pPr>
        <w:widowControl w:val="on"/>
        <w:pBdr/>
        <w:spacing w:before="240" w:after="240" w:line="240" w:lineRule="auto"/>
        <w:ind w:left="0" w:right="0"/>
        <w:jc w:val="left"/>
      </w:pPr>
      <w:r>
        <w:rPr>
          <w:color w:val="000000"/>
          <w:sz w:val="24"/>
          <w:szCs w:val="24"/>
        </w:rPr>
        <w:t xml:space="preserve">By using TDDFT-ECD calculations, I could determine the absolute configuration of the enatiomers of the isomer with planar chirality on the basis of comparison with the experimental HPLC-ECD spectra.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125425">
    <w:multiLevelType w:val="hybridMultilevel"/>
    <w:lvl w:ilvl="0" w:tplc="38433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125425">
    <w:abstractNumId w:val="611254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1946927" Type="http://schemas.openxmlformats.org/officeDocument/2006/relationships/numbering" Target="numbering.xml"/><Relationship Id="rId1550022ec32af1" Type="http://schemas.openxmlformats.org/officeDocument/2006/relationships/image" Target="media/imgrId1550022ec32af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