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SZABÓ</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Imre Tóth</w:t>
            </w:r>
          </w:p>
          <w:p w:rsidR="00DB4822" w:rsidRDefault="00DB4822" w:rsidP="00BA6BAF">
            <w:pPr>
              <w:pStyle w:val="Konzulensektitulus"/>
            </w:pPr>
            <w:r w:rsidRPr="00DB4822">
              <w:t>professor, DE TTK</w:t>
            </w:r>
          </w:p>
        </w:tc>
      </w:tr>
      <w:tr w:rsidR="00DB4822" w:rsidTr="00DB4822">
        <w:tc>
          <w:tcPr>
            <w:tcW w:w="9854" w:type="dxa"/>
          </w:tcPr>
          <w:p w:rsidR="00DB4822" w:rsidRPr="00DB4822" w:rsidRDefault="00DB4822" w:rsidP="00BA6BAF">
            <w:pPr>
              <w:pStyle w:val="Konzulenseknev"/>
            </w:pPr>
            <w:r w:rsidRPr="00DB4822">
              <w:t>Dr. Zsolt Baranyai</w:t>
            </w:r>
          </w:p>
          <w:p w:rsidR="00DB4822" w:rsidRDefault="00DB4822" w:rsidP="00BA6BAF">
            <w:pPr>
              <w:pStyle w:val="Konzulensektitulus"/>
            </w:pPr>
            <w:r w:rsidRPr="00DB4822">
              <w:t>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Formation kinetics of gallium(III)-1,4,7,10-tetraazaciclododecan-1,4,7,10-tetraacetate in ethanol-water mixtures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gallium;ethanol;equilibrium;kinetics;complex</w:t>
      </w:r>
      <w:r>
        <w:t xml:space="preserve"/>
      </w:r>
    </w:p>
    <w:p>
      <w:pPr>
        <w:widowControl w:val="on"/>
        <w:pBdr/>
        <w:spacing w:before="240" w:after="240" w:line="240" w:lineRule="auto"/>
        <w:ind w:left="0" w:right="0"/>
        <w:jc w:val="left"/>
      </w:pPr>
      <w:r>
        <w:rPr>
          <w:color w:val="000000"/>
          <w:sz w:val="24"/>
          <w:szCs w:val="24"/>
        </w:rPr>
        <w:t xml:space="preserve">The protonation constants of H</w:t>
      </w:r>
      <w:r>
        <w:rPr>
          <w:color w:val="000000"/>
          <w:position w:val="-4"/>
          <w:sz w:val="21"/>
          <w:szCs w:val="21"/>
          <w:vertAlign w:val="subscript"/>
        </w:rPr>
        <w:t xml:space="preserve">4</w:t>
      </w:r>
      <w:r>
        <w:rPr>
          <w:color w:val="000000"/>
          <w:sz w:val="24"/>
          <w:szCs w:val="24"/>
        </w:rPr>
        <w:t xml:space="preserve">DOTA were determined by pH-potentiometry in ethanol-water mixtures. The protonation constants of DOTA reveal that the logK</w:t>
      </w:r>
      <w:r>
        <w:rPr>
          <w:color w:val="000000"/>
          <w:position w:val="-4"/>
          <w:sz w:val="21"/>
          <w:szCs w:val="21"/>
          <w:vertAlign w:val="subscript"/>
        </w:rPr>
        <w:t xml:space="preserve">1</w:t>
      </w:r>
      <w:r>
        <w:rPr>
          <w:color w:val="000000"/>
          <w:position w:val="4"/>
          <w:sz w:val="21"/>
          <w:szCs w:val="21"/>
        </w:rPr>
        <w:t xml:space="preserve">H</w:t>
      </w:r>
      <w:r>
        <w:rPr>
          <w:color w:val="000000"/>
          <w:sz w:val="24"/>
          <w:szCs w:val="24"/>
        </w:rPr>
        <w:t xml:space="preserve"> and logK</w:t>
      </w:r>
      <w:r>
        <w:rPr>
          <w:color w:val="000000"/>
          <w:position w:val="-4"/>
          <w:sz w:val="21"/>
          <w:szCs w:val="21"/>
          <w:vertAlign w:val="subscript"/>
        </w:rPr>
        <w:t xml:space="preserve">2</w:t>
      </w:r>
      <w:r>
        <w:rPr>
          <w:color w:val="000000"/>
          <w:position w:val="4"/>
          <w:sz w:val="21"/>
          <w:szCs w:val="21"/>
        </w:rPr>
        <w:t xml:space="preserve">H</w:t>
      </w:r>
      <w:r>
        <w:rPr>
          <w:color w:val="000000"/>
          <w:sz w:val="24"/>
          <w:szCs w:val="24"/>
        </w:rPr>
        <w:t xml:space="preserve"> values decrease, logK</w:t>
      </w:r>
      <w:r>
        <w:rPr>
          <w:color w:val="000000"/>
          <w:position w:val="-4"/>
          <w:sz w:val="21"/>
          <w:szCs w:val="21"/>
          <w:vertAlign w:val="subscript"/>
        </w:rPr>
        <w:t xml:space="preserve">4</w:t>
      </w:r>
      <w:r>
        <w:rPr>
          <w:color w:val="000000"/>
          <w:position w:val="4"/>
          <w:sz w:val="21"/>
          <w:szCs w:val="21"/>
        </w:rPr>
        <w:t xml:space="preserve">H</w:t>
      </w:r>
      <w:r>
        <w:rPr>
          <w:color w:val="000000"/>
          <w:sz w:val="24"/>
          <w:szCs w:val="24"/>
        </w:rPr>
        <w:t xml:space="preserve"> value increases while logK</w:t>
      </w:r>
      <w:r>
        <w:rPr>
          <w:color w:val="000000"/>
          <w:position w:val="-4"/>
          <w:sz w:val="21"/>
          <w:szCs w:val="21"/>
          <w:vertAlign w:val="subscript"/>
        </w:rPr>
        <w:t xml:space="preserve">3</w:t>
      </w:r>
      <w:r>
        <w:rPr>
          <w:color w:val="000000"/>
          <w:position w:val="4"/>
          <w:sz w:val="21"/>
          <w:szCs w:val="21"/>
        </w:rPr>
        <w:t xml:space="preserve">H</w:t>
      </w:r>
      <w:r>
        <w:rPr>
          <w:color w:val="000000"/>
          <w:sz w:val="24"/>
          <w:szCs w:val="24"/>
        </w:rPr>
        <w:t xml:space="preserve"> and logK</w:t>
      </w:r>
      <w:r>
        <w:rPr>
          <w:color w:val="000000"/>
          <w:position w:val="-4"/>
          <w:sz w:val="21"/>
          <w:szCs w:val="21"/>
          <w:vertAlign w:val="subscript"/>
        </w:rPr>
        <w:t xml:space="preserve">5</w:t>
      </w:r>
      <w:r>
        <w:rPr>
          <w:color w:val="000000"/>
          <w:position w:val="4"/>
          <w:sz w:val="21"/>
          <w:szCs w:val="21"/>
        </w:rPr>
        <w:t xml:space="preserve">H</w:t>
      </w:r>
      <w:r>
        <w:rPr>
          <w:color w:val="000000"/>
          <w:sz w:val="24"/>
          <w:szCs w:val="24"/>
        </w:rPr>
        <w:t xml:space="preserve"> values slightly decrease with the increasing ethanol concentration. The decrease of the protonation constants of the ring nitrogens (logK</w:t>
      </w:r>
      <w:r>
        <w:rPr>
          <w:color w:val="000000"/>
          <w:position w:val="-4"/>
          <w:sz w:val="21"/>
          <w:szCs w:val="21"/>
          <w:vertAlign w:val="subscript"/>
        </w:rPr>
        <w:t xml:space="preserve">1</w:t>
      </w:r>
      <w:r>
        <w:rPr>
          <w:color w:val="000000"/>
          <w:position w:val="4"/>
          <w:sz w:val="21"/>
          <w:szCs w:val="21"/>
        </w:rPr>
        <w:t xml:space="preserve">H</w:t>
      </w:r>
      <w:r>
        <w:rPr>
          <w:color w:val="000000"/>
          <w:sz w:val="24"/>
          <w:szCs w:val="24"/>
        </w:rPr>
        <w:t xml:space="preserve"> logK</w:t>
      </w:r>
      <w:r>
        <w:rPr>
          <w:color w:val="000000"/>
          <w:position w:val="-4"/>
          <w:sz w:val="21"/>
          <w:szCs w:val="21"/>
          <w:vertAlign w:val="subscript"/>
        </w:rPr>
        <w:t xml:space="preserve">2</w:t>
      </w:r>
      <w:r>
        <w:rPr>
          <w:color w:val="000000"/>
          <w:position w:val="4"/>
          <w:sz w:val="21"/>
          <w:szCs w:val="21"/>
        </w:rPr>
        <w:t xml:space="preserve">H</w:t>
      </w:r>
      <w:r>
        <w:rPr>
          <w:color w:val="000000"/>
          <w:sz w:val="24"/>
          <w:szCs w:val="24"/>
        </w:rPr>
        <w:t xml:space="preserve">) might be explained by the higher basicitiy of the ethylate ion. The increasing protonation constant of the acetate group of DOTA (logK</w:t>
      </w:r>
      <w:r>
        <w:rPr>
          <w:color w:val="000000"/>
          <w:position w:val="-4"/>
          <w:sz w:val="21"/>
          <w:szCs w:val="21"/>
          <w:vertAlign w:val="subscript"/>
        </w:rPr>
        <w:t xml:space="preserve">4</w:t>
      </w:r>
      <w:r>
        <w:rPr>
          <w:color w:val="000000"/>
          <w:position w:val="4"/>
          <w:sz w:val="21"/>
          <w:szCs w:val="21"/>
        </w:rPr>
        <w:t xml:space="preserve">H</w:t>
      </w:r>
      <w:r>
        <w:rPr>
          <w:color w:val="000000"/>
          <w:sz w:val="24"/>
          <w:szCs w:val="24"/>
        </w:rPr>
        <w:t xml:space="preserve">) might be caused by the decreasing basicity of the ring nitrogens which results in the independent protonation process of the carboxylate pendant arm. The equilibrium studies of the ligand DOTA indicate that the presence of ethanol affects the basicity of the donor atoms and consequently the equilibrium properties and the rate of the formation and dissociation reactions of DOTA complexes.</w:t>
      </w:r>
      <w:r>
        <w:rPr>
          <w:color w:val="000000"/>
          <w:sz w:val="24"/>
          <w:szCs w:val="24"/>
        </w:rPr>
        <w:br/>
        <w:t xml:space="preserve">The Ga(DOTA) complex is characterized by a high stability constant. The formation rate of Ga(DOTA) is low, similarly to that of the Ln(DOTA) complexes. The relatively slow formation of Ga(DOTA) can be interpreted in terms of the formation of a stable diprotonated *Ga(H</w:t>
      </w:r>
      <w:r>
        <w:rPr>
          <w:color w:val="000000"/>
          <w:position w:val="-4"/>
          <w:sz w:val="21"/>
          <w:szCs w:val="21"/>
          <w:vertAlign w:val="subscript"/>
        </w:rPr>
        <w:t xml:space="preserve">2</w:t>
      </w:r>
      <w:r>
        <w:rPr>
          <w:color w:val="000000"/>
          <w:sz w:val="24"/>
          <w:szCs w:val="24"/>
        </w:rPr>
        <w:t xml:space="preserve">DOTA) intermediate, which can be deprotonated and transformed to the final Ga(DOTA) complex in a rate-determining step. The k</w:t>
      </w:r>
      <w:r>
        <w:rPr>
          <w:color w:val="000000"/>
          <w:position w:val="-4"/>
          <w:sz w:val="21"/>
          <w:szCs w:val="21"/>
          <w:vertAlign w:val="subscript"/>
        </w:rPr>
        <w:t xml:space="preserve">f</w:t>
      </w:r>
      <w:r>
        <w:rPr>
          <w:color w:val="000000"/>
          <w:sz w:val="24"/>
          <w:szCs w:val="24"/>
        </w:rPr>
        <w:t xml:space="preserve"> rate constants characterizing the deprotonation and transformation of the diprotonated *Ga(H</w:t>
      </w:r>
      <w:r>
        <w:rPr>
          <w:color w:val="000000"/>
          <w:position w:val="-4"/>
          <w:sz w:val="21"/>
          <w:szCs w:val="21"/>
          <w:vertAlign w:val="subscript"/>
        </w:rPr>
        <w:t xml:space="preserve">2</w:t>
      </w:r>
      <w:r>
        <w:rPr>
          <w:color w:val="000000"/>
          <w:sz w:val="24"/>
          <w:szCs w:val="24"/>
        </w:rPr>
        <w:t xml:space="preserve">DOTA) intermediate to the Ga(DOTA) are directly proportional to the [OH</w:t>
      </w:r>
      <w:r>
        <w:rPr>
          <w:color w:val="000000"/>
          <w:position w:val="4"/>
          <w:sz w:val="21"/>
          <w:szCs w:val="21"/>
          <w:vertAlign w:val="superscript"/>
        </w:rPr>
        <w:t xml:space="preserve">-</w:t>
      </w:r>
      <w:r>
        <w:rPr>
          <w:color w:val="000000"/>
          <w:sz w:val="24"/>
          <w:szCs w:val="24"/>
        </w:rPr>
        <w:t xml:space="preserve">] in the pH range 2.5 – 3.7. According to the proposed reaction mechanism the diprotonated *Ga(H</w:t>
      </w:r>
      <w:r>
        <w:rPr>
          <w:color w:val="000000"/>
          <w:position w:val="-4"/>
          <w:sz w:val="21"/>
          <w:szCs w:val="21"/>
          <w:vertAlign w:val="subscript"/>
        </w:rPr>
        <w:t xml:space="preserve">2</w:t>
      </w:r>
      <w:r>
        <w:rPr>
          <w:color w:val="000000"/>
          <w:sz w:val="24"/>
          <w:szCs w:val="24"/>
        </w:rPr>
        <w:t xml:space="preserve">DOTA) intermediate is in protonation equilibrium with the monoprotonated *Ga(H</w:t>
      </w:r>
      <w:r>
        <w:rPr>
          <w:color w:val="000000"/>
          <w:position w:val="-4"/>
          <w:sz w:val="21"/>
          <w:szCs w:val="21"/>
          <w:vertAlign w:val="subscript"/>
        </w:rPr>
        <w:t xml:space="preserve">2</w:t>
      </w:r>
      <w:r>
        <w:rPr>
          <w:color w:val="000000"/>
          <w:sz w:val="24"/>
          <w:szCs w:val="24"/>
        </w:rPr>
        <w:t xml:space="preserve">DOTA) intermediate, which may deprotonate and transform to Ga(DOTA) in a H2O assisted reactions. The K</w:t>
      </w:r>
      <w:r>
        <w:rPr>
          <w:color w:val="000000"/>
          <w:position w:val="4"/>
          <w:sz w:val="21"/>
          <w:szCs w:val="21"/>
          <w:vertAlign w:val="superscript"/>
        </w:rPr>
        <w:t xml:space="preserve">H</w:t>
      </w:r>
      <w:r>
        <w:rPr>
          <w:color w:val="000000"/>
          <w:position w:val="-4"/>
          <w:sz w:val="21"/>
          <w:szCs w:val="21"/>
        </w:rPr>
        <w:t xml:space="preserve">Ga(HL)</w:t>
      </w:r>
      <w:r>
        <w:rPr>
          <w:color w:val="000000"/>
          <w:sz w:val="24"/>
          <w:szCs w:val="24"/>
        </w:rPr>
        <w:t xml:space="preserve"> value of *Ga(HDOTA) is lower than that of the *Ln(HDOTA) intermediates and it results in the faster formation of Ga(DOTA) in the pH range studied. The K</w:t>
      </w:r>
      <w:r>
        <w:rPr>
          <w:color w:val="000000"/>
          <w:position w:val="4"/>
          <w:sz w:val="21"/>
          <w:szCs w:val="21"/>
          <w:vertAlign w:val="superscript"/>
        </w:rPr>
        <w:t xml:space="preserve">H</w:t>
      </w:r>
      <w:r>
        <w:rPr>
          <w:color w:val="000000"/>
          <w:position w:val="-4"/>
          <w:sz w:val="21"/>
          <w:szCs w:val="21"/>
        </w:rPr>
        <w:t xml:space="preserve">Ga(HL)</w:t>
      </w:r>
      <w:r>
        <w:rPr>
          <w:color w:val="000000"/>
          <w:sz w:val="24"/>
          <w:szCs w:val="24"/>
        </w:rPr>
        <w:t xml:space="preserve"> value of the *Ga(HDOTA) intermediate, similarly to the first (logK</w:t>
      </w:r>
      <w:r>
        <w:rPr>
          <w:color w:val="000000"/>
          <w:position w:val="-4"/>
          <w:sz w:val="21"/>
          <w:szCs w:val="21"/>
          <w:vertAlign w:val="subscript"/>
        </w:rPr>
        <w:t xml:space="preserve">1</w:t>
      </w:r>
      <w:r>
        <w:rPr>
          <w:color w:val="000000"/>
          <w:position w:val="4"/>
          <w:sz w:val="21"/>
          <w:szCs w:val="21"/>
        </w:rPr>
        <w:t xml:space="preserve">H</w:t>
      </w:r>
      <w:r>
        <w:rPr>
          <w:color w:val="000000"/>
          <w:sz w:val="24"/>
          <w:szCs w:val="24"/>
        </w:rPr>
        <w:t xml:space="preserve">) and second (logK</w:t>
      </w:r>
      <w:r>
        <w:rPr>
          <w:color w:val="000000"/>
          <w:position w:val="-4"/>
          <w:sz w:val="21"/>
          <w:szCs w:val="21"/>
          <w:vertAlign w:val="subscript"/>
        </w:rPr>
        <w:t xml:space="preserve">2</w:t>
      </w:r>
      <w:r>
        <w:rPr>
          <w:color w:val="000000"/>
          <w:position w:val="4"/>
          <w:sz w:val="21"/>
          <w:szCs w:val="21"/>
        </w:rPr>
        <w:t xml:space="preserve">H</w:t>
      </w:r>
      <w:r>
        <w:rPr>
          <w:color w:val="000000"/>
          <w:sz w:val="24"/>
          <w:szCs w:val="24"/>
        </w:rPr>
        <w:t xml:space="preserve">) protonation constants of DOTA, decreases with the increase of the ethanol concentration. The lower K</w:t>
      </w:r>
      <w:r>
        <w:rPr>
          <w:color w:val="000000"/>
          <w:position w:val="4"/>
          <w:sz w:val="21"/>
          <w:szCs w:val="21"/>
          <w:vertAlign w:val="superscript"/>
        </w:rPr>
        <w:t xml:space="preserve">H</w:t>
      </w:r>
      <w:r>
        <w:rPr>
          <w:color w:val="000000"/>
          <w:position w:val="-4"/>
          <w:sz w:val="21"/>
          <w:szCs w:val="21"/>
        </w:rPr>
        <w:t xml:space="preserve">Ga(HL)</w:t>
      </w:r>
      <w:r>
        <w:rPr>
          <w:color w:val="000000"/>
          <w:sz w:val="24"/>
          <w:szCs w:val="24"/>
        </w:rPr>
        <w:t xml:space="preserve"> value of *Ga(HDOTA) intermediate results in the faster formation of Ga(DOTA) due to the shift of the equilibria from the diprotonated *Ga(H</w:t>
      </w:r>
      <w:r>
        <w:rPr>
          <w:color w:val="000000"/>
          <w:position w:val="-4"/>
          <w:sz w:val="21"/>
          <w:szCs w:val="21"/>
          <w:vertAlign w:val="subscript"/>
        </w:rPr>
        <w:t xml:space="preserve">2</w:t>
      </w:r>
      <w:r>
        <w:rPr>
          <w:color w:val="000000"/>
          <w:sz w:val="24"/>
          <w:szCs w:val="24"/>
        </w:rPr>
        <w:t xml:space="preserve">DOTA) intermediate to the formation of the reactive monoprotonated *Ga(</w:t>
      </w:r>
      <w:r>
        <w:rPr>
          <w:color w:val="000000"/>
          <w:position w:val="-4"/>
          <w:sz w:val="21"/>
          <w:szCs w:val="21"/>
          <w:vertAlign w:val="subscript"/>
        </w:rPr>
        <w:t xml:space="preserve">H</w:t>
      </w:r>
      <w:r>
        <w:rPr>
          <w:color w:val="000000"/>
          <w:sz w:val="24"/>
          <w:szCs w:val="24"/>
        </w:rPr>
        <w:t xml:space="preserve">DOTA) intermediate.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36749">
    <w:multiLevelType w:val="hybridMultilevel"/>
    <w:lvl w:ilvl="0" w:tplc="58195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36749">
    <w:abstractNumId w:val="12636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375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