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JAKIM</w:t>
            </w:r>
          </w:p>
          <w:p w:rsidR="00C275A3" w:rsidRDefault="00A96AEC" w:rsidP="00C275A3">
            <w:pPr>
              <w:pStyle w:val="Hallgatokepzes"/>
            </w:pPr>
            <w:r>
              <w:t>Biochemical Engineering</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KRISZTINA KUKORICZA</w:t>
            </w:r>
          </w:p>
          <w:p w:rsidR="00DB4822" w:rsidRDefault="00C275A3" w:rsidP="004D7940">
            <w:pPr>
              <w:pStyle w:val="Hallgatokepzes"/>
            </w:pPr>
            <w:r>
              <w:t>Biology</w:t>
            </w:r>
            <w:r w:rsidR="00A96AEC">
              <w:br/>
              <w:t>BSc,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Gabor Szeman-Nagy</w:t>
            </w:r>
          </w:p>
          <w:p w:rsidR="00DB4822" w:rsidRDefault="00DB4822" w:rsidP="009763E0">
            <w:pPr>
              <w:pStyle w:val="Konzulensektitulus"/>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different nanoparticles on the in vitro scratch model of corneal wound healing and chromatin condensation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Nanotechnology can provide new ways to adress the treatment of ocular injuries, as certain nanoparticles can be effectively used in target delivery. The use of nanoparticles in target delivery could prevent intraocular injections in severe cases, when the deeper tissues of the eyes cannot be treated using eyedrops, because the medicine washes out with tears in a few seconds. Before using nanoparticles in delivery the toxicity of these particles should be adressed.</w:t>
      </w:r>
      <w:r>
        <w:rPr>
          <w:color w:val="000000"/>
          <w:sz w:val="24"/>
          <w:szCs w:val="24"/>
        </w:rPr>
        <w:br/>
        <w:t xml:space="preserve">In our experiments corneal limbal cell regeneration and structural changes in chromatin condensation were studied upon treatment with 12.6 uM/ml colloidal silver(10nm diameter), 3.15 uM/ml colloidal gold(around 100nm diameter), 21.66 ug/ml and 140ug/ml gold nanoparticles(100nm diameter). An in vitro cell scratch model served to follow limbal cell growth by long-term scanning microscopy. The progression of the repopulation of the scratch was observed using Scanning Electron Microscopy. Silver nanoparticles slowed down the regeneration process. Similarly, low concentration of gold nanoparticles did not affect severely the repopulation of limbal monolayer, higher concentrations extended it in a concentration dependent manner. The intermediates of chromatin condensation of healthy cells included decondensed veil-like chromatin, fibrillary chromatin, supercoiled ribbon, chromatin bodies, early linear forms and metaphase chromosomes. Characteristic distortions in chromatin structures took place in nuclei of limbal stem cells in the presence of nanoparticles but on the above concentrations the number of distorted forms is not significant.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27487">
    <w:multiLevelType w:val="hybridMultilevel"/>
    <w:lvl w:ilvl="0" w:tplc="62774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27487">
    <w:abstractNumId w:val="78827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397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