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VÁRADI ALEX</w:t>
            </w:r>
          </w:p>
          <w:p w:rsidR="00C275A3" w:rsidRDefault="00A96AEC" w:rsidP="00C275A3">
            <w:pPr>
              <w:pStyle w:val="Hallgatokepzes"/>
            </w:pPr>
            <w:r>
              <w:t>Biológus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Bereczki Judit ,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DE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Tóth János Pál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 Tokaji Borvidék Szőlészeti és Borászati Kutatóintézet, Tokaj (RIVOT), H-3915 Tarcal, Könyves Kálmán utca 54.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Fluktuáló aszimmetria a nagy tarkalepkénél (Melitaea phoebe) (Lepidoptera, Nymphalidae)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élőlények többségén megfigyelhető a szimmetria valamilyen típusa, különösen a külső morfológiájukat tekintve. A bilaterális szimmetriájú élőlényeken megfigyelhető aszimmetriának alapvetően három típusát különböztethetjük meg: az antiszimmetriát, a direkcionális és a fluktuáló aszimmetriát. Az utóbbi a bilaterális szimmetriájú szervek párhuzamos fejlődésének hiányában alakul ki, amelyet előszeretettel használnak a fitnesz és a stressz indikátoraként. Az elmúlt pár évtized eredményei azonban ellentmondásosak a rátermettség illetve az aszimmetria és a stressz között fennálló összefüggés tekintetében.</w:t>
      </w:r>
      <w:r>
        <w:rPr>
          <w:color w:val="000000"/>
          <w:sz w:val="24"/>
          <w:szCs w:val="24"/>
        </w:rPr>
        <w:br/>
        <w:t xml:space="preserve">Vizsgálataim során arra kerestem a választ, hogy a Melitaea phoebe méret és szimmetria viszonyait hogyan befolyásolja (1) az eltérő minőségű és (2) mennyiségű tápnövény. Továbbá (3) a nemek között van-e különbség az aszimmetria mértékében, valamint (4) van-e összefüggés a szárnyméret és a fluktuáló aszimmetria mértéke között.</w:t>
      </w:r>
      <w:r>
        <w:rPr>
          <w:color w:val="000000"/>
          <w:sz w:val="24"/>
          <w:szCs w:val="24"/>
        </w:rPr>
        <w:br/>
        <w:t xml:space="preserve">A hernyókat három különböző tápnövényen (Cirsium pannonicum, Ci. arvense és Centaurea scabiosa) laboratóriumi körülmények között neveltük ad libitum módon egyesével, illetve csoportosan limitált mennyiségű Ci. arvense-n. Emellett a természetes populációból is mintát vettünk. Az imágók szárnyait scanner segítségével digitalizáltuk. A méretet illetve a szimmetriaviszonyokat landmark alapú geometriai morfometriával vizsgáltuk.</w:t>
      </w:r>
      <w:r>
        <w:rPr>
          <w:color w:val="000000"/>
          <w:sz w:val="24"/>
          <w:szCs w:val="24"/>
        </w:rPr>
        <w:br/>
        <w:t xml:space="preserve">Az eltérő minőségű és mennyiségű tápnövényen nevelt hernyókból kikelt imágók között szignifikáns méretbeli különbségeket tapasztaltunk, azonban a tápnövények minősége nem volt hatással az aszimmetria mértékére. Az egyetlen kezeléstípus, amelynél az aszimmetria mértéke szignifikánsan nagyobb volt a többinél, az a limitált mennyiségű táplálékon nevelt egyedek csoportja volt. Ebben az esetben a táplálék limitáltsága és az emiatt kialakuló egyedek közötti kompetíció lehetett a legjelentősebb hatás. A különböző kezelések során a két ivar mérete eltért egymástól, viszont a fluktuáló aszimmetria mértékében a két nem között nem tapasztaltunk szignifikáns különbséget. A szárny mérete és az aszimmetria mértéke között nem volt jelentős összefüggés. Az eredmények tehát egy vizsgálaton belül is ellentmondásosak a fluktuáló aszimmetria és a környezeti stressz közötti összefüggés kapcsán, és nem támasztják alá annak általánosságát. Eredményeink és az irodalmi adatok alapján úgy tűnik, hogy a fluktuáló aszimmetria indikátorként való alkalmazhatóságát egyedileg kell értékelnünk a különböző típusú környezeti hatások esetén.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197517">
    <w:multiLevelType w:val="hybridMultilevel"/>
    <w:lvl w:ilvl="0" w:tplc="162248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197517">
    <w:abstractNumId w:val="841975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65774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