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TÓTH</w:t>
            </w:r>
          </w:p>
          <w:p w:rsidR="00C275A3" w:rsidRDefault="00A96AEC" w:rsidP="00C275A3">
            <w:pPr>
              <w:pStyle w:val="Hallgatokepzes"/>
            </w:pPr>
            <w:r>
              <w:t>Biologist MSc</w:t>
            </w:r>
            <w:r>
              <w:br/>
            </w:r>
            <w:r w:rsidR="00E77B23">
              <w:t>MSc, 3. semester</w:t>
            </w:r>
          </w:p>
          <w:p w:rsidR="00C265CE" w:rsidRPr="009E5FF1" w:rsidRDefault="00E77B23" w:rsidP="009763E0">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Zoltán Barta</w:t>
            </w:r>
          </w:p>
          <w:p w:rsidR="00DB4822" w:rsidRDefault="00DB4822" w:rsidP="009763E0">
            <w:pPr>
              <w:pStyle w:val="Konzulensektitulus"/>
            </w:pPr>
            <w:r w:rsidRPr="00DB4822">
              <w:t>professor, DE TTK</w:t>
            </w:r>
          </w:p>
        </w:tc>
      </w:tr>
      <w:tr w:rsidR="00DB4822" w:rsidTr="00DB4822">
        <w:tc>
          <w:tcPr>
            <w:tcW w:w="9854" w:type="dxa"/>
          </w:tcPr>
          <w:p w:rsidR="00DB4822" w:rsidRPr="00DB4822" w:rsidRDefault="00DB4822" w:rsidP="009763E0">
            <w:pPr>
              <w:pStyle w:val="Konzulenseknev"/>
            </w:pPr>
            <w:r w:rsidRPr="00DB4822">
              <w:t>Dr. Attila Hettyey</w:t>
            </w:r>
          </w:p>
          <w:p w:rsidR="00DB4822" w:rsidRDefault="00DB4822" w:rsidP="009763E0">
            <w:pPr>
              <w:pStyle w:val="Konzulensektitulus"/>
            </w:pPr>
            <w:r w:rsidRPr="00DB4822">
              <w:t>senior research fellow,  MTA ATK NÖVI</w:t>
            </w:r>
          </w:p>
        </w:tc>
      </w:tr>
      <w:tr w:rsidR="00DB4822" w:rsidTr="00DB4822">
        <w:tc>
          <w:tcPr>
            <w:tcW w:w="9854" w:type="dxa"/>
          </w:tcPr>
          <w:p w:rsidR="00DB4822" w:rsidRPr="00DB4822" w:rsidRDefault="00DB4822" w:rsidP="009763E0">
            <w:pPr>
              <w:pStyle w:val="Konzulenseknev"/>
            </w:pPr>
            <w:r w:rsidRPr="00DB4822">
              <w:t>Dr. Veronika Bókony</w:t>
            </w:r>
          </w:p>
          <w:p w:rsidR="00DB4822" w:rsidRDefault="00DB4822" w:rsidP="009763E0">
            <w:pPr>
              <w:pStyle w:val="Konzulensektitulus"/>
            </w:pPr>
            <w:r w:rsidRPr="00DB4822">
              <w:t>senior research fellow,  MTA ATK NÖVI</w:t>
            </w:r>
          </w:p>
        </w:tc>
      </w:tr>
      <w:tr w:rsidR="00DB4822" w:rsidTr="00DB4822">
        <w:tc>
          <w:tcPr>
            <w:tcW w:w="9854" w:type="dxa"/>
          </w:tcPr>
          <w:p w:rsidR="00DB4822" w:rsidRPr="00DB4822" w:rsidRDefault="00DB4822" w:rsidP="009763E0">
            <w:pPr>
              <w:pStyle w:val="Konzulenseknev"/>
            </w:pPr>
            <w:r w:rsidRPr="00DB4822">
              <w:t>Dávid Herczeg</w:t>
            </w:r>
          </w:p>
          <w:p w:rsidR="00DB4822" w:rsidRDefault="00DB4822" w:rsidP="009763E0">
            <w:pPr>
              <w:pStyle w:val="Konzulensektitulus"/>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Tadpole density of two common frog species in relation to biotics and abiotics factors in the Pilis- Visegrád hills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I present a study that investigated the relationship between the density of tadpoles of two anuran apmhibians and some biotic and abiotic parameters of their aquatic environment. We performed the survey in 17 ephemeral water bodies of the Pilis-Visegrád hills in spring 2014. The common toad (Bufo bufo) and the agile frog (Rana dalmatina) were the focal anuran species, both of which we found in almost all monitored pond, but we also evaluated correlates of their tadpoles' summed density. We mesaured physical and chemical parameters of the waterbodies, assessed food availability by quantifying the periphyton biomass, and estimated the density of predators and competitors of tadpoles. Our analyses indicated some correlations with environmental factors in the case of common toad tadpoles, but none in agile frog larvae which were generally present considerably lower densities. The density of common toad was higher where the water was less acidic, where more diving beetle imagos and fewer leeches were present. Furthermore, the summed tadpole density positively correlated with food availability. These results support the notion that tadpole densities may be influenced by several environmental factors simultaneously, and that the importance of these factors may differ among species. Further analyses will be necessary to disentangle the complex relationship between effects of the influential factors.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99918">
    <w:multiLevelType w:val="hybridMultilevel"/>
    <w:lvl w:ilvl="0" w:tplc="636330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99918">
    <w:abstractNumId w:val="10899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9408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