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RÁDAI</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Barta</w:t>
            </w:r>
          </w:p>
          <w:p w:rsidR="00DB4822" w:rsidRDefault="00DB4822" w:rsidP="00E11062">
            <w:pPr>
              <w:pStyle w:val="Konzulensek"/>
            </w:pPr>
            <w:r w:rsidRPr="00DB4822">
              <w:t>professor, head of department, DE TTK</w:t>
            </w:r>
          </w:p>
        </w:tc>
      </w:tr>
      <w:tr w:rsidR="00DB4822" w:rsidTr="00DB4822">
        <w:tc>
          <w:tcPr>
            <w:tcW w:w="9854" w:type="dxa"/>
          </w:tcPr>
          <w:p w:rsidR="00DB4822" w:rsidRPr="00DB4822" w:rsidRDefault="00DB4822" w:rsidP="004D7940">
            <w:pPr>
              <w:pStyle w:val="Konzulensek"/>
            </w:pPr>
            <w:r w:rsidRPr="00DB4822">
              <w:t>Dr. Balázs Kiss</w:t>
            </w:r>
          </w:p>
          <w:p w:rsidR="00DB4822" w:rsidRDefault="00DB4822" w:rsidP="00E11062">
            <w:pPr>
              <w:pStyle w:val="Konzulensek"/>
            </w:pPr>
            <w:r w:rsidRPr="00DB4822">
              <w:t>senior research fellow,  Plant Protection Institute, Centre for Agricultural Research,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Risk-taking behaviour of individuals with different life-history strategies in the case of the field wolf-spider (Pardosa agrestis, 1861)</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 interesting case of life-history theory is the so called cohort splitting, in which individuals from the same brood follow different life-history strategies, what can lead to differences in their ontogeny. The common agrobiont field wolf-spider represents a good example for this phenomenon. Many aspects of it's ecology and life-history characteristics are well described, especially the emergence of a second, optional generation within one reproductive cycle. Behavioural ecological studies regarding this species could provide novel ways in understanding the background and adaptive value of the phenomenon. The trade-off between life-history traits such as current and future reproduction can result in behavioral polymorphism of individuals in a population (Wolf et al., 2007). As of the field wolf-spider, individuals of the two cohort types, differing significantly in their pace of development, may vary in their investment in current (before-winter), or in future (after-winter) reproduction. Studying this case of cohort splitting with behavioural biological methods we tried to answer the question: do the individuals belonging to the different cohort types differ in their (exploratory and foraging) behaviour, which differences are stable across time. Our results suggest, that there is significant dissimilarity in the risk-taking behaviour of individuals from the different cohort types. Spiders developing rapidly seemed to be more willing to attack a potential prey, and during the exploratory examinations, they were more active, compared to slowly developing individuals.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68701">
    <w:multiLevelType w:val="hybridMultilevel"/>
    <w:lvl w:ilvl="0" w:tplc="11163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68701">
    <w:abstractNumId w:val="944687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80952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