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CSERNY ZSOLT</w:t>
            </w:r>
          </w:p>
          <w:p w:rsidR="00C275A3" w:rsidRDefault="00A96AEC" w:rsidP="00C275A3">
            <w:pPr>
              <w:pStyle w:val="Hallgatokepzes"/>
            </w:pPr>
            <w:r>
              <w:t>Villamosmérnök (Bsc)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Dr.Novothny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Szinuszos és nemszinuszos periodikus teljesítmény ábrázolása és kiszámítása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áttekintem a statikus fazorok kiszámításának módszereit mind szinuszos, mind periodikus jel esetében.</w:t>
      </w:r>
      <w:r>
        <w:rPr>
          <w:color w:val="000000"/>
          <w:sz w:val="24"/>
          <w:szCs w:val="24"/>
        </w:rPr>
        <w:br/>
        <w:t xml:space="preserve">Először bemutatom a fizikai, idő alapú AC feszültség, áram és teljesítmény ábrázolását, majd kiterjesztem a a fazor definíció használatát a hatásos (valóságos) és a meddő teljesítmény értelmezésére. Áttekintem az effektív érték (rms) képzést feszültségre és áramra, majd felharmonikusokat tartalmazó periodikus jelre, és ismertetem bevezetem a reaktív teljesítménymátrixot. Definiálom az impedanciamátrixot, és ismertetem a megmaradási szabályt.</w:t>
      </w:r>
      <w:r>
        <w:rPr>
          <w:color w:val="000000"/>
          <w:sz w:val="24"/>
          <w:szCs w:val="24"/>
        </w:rPr>
        <w:br/>
        <w:t xml:space="preserve">Nem lineáris elemeket tartalmazó áramkörök analízisénél az általam bemutatott ismeretek alkalmazása elengedhetetlen az egzakt tárgyalásmódhoz. Végül röviden ismertetem a fazor algebra kitejesztett változatát többfáziú áramkörre.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293245">
    <w:multiLevelType w:val="hybridMultilevel"/>
    <w:lvl w:ilvl="0" w:tplc="224944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293245">
    <w:abstractNumId w:val="142932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63256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