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LACZKÓ</w:t>
            </w:r>
          </w:p>
          <w:p w:rsidR="00C275A3" w:rsidRDefault="00A96AEC" w:rsidP="00C275A3">
            <w:pPr>
              <w:pStyle w:val="Hallgatokepzes"/>
            </w:pPr>
            <w:r>
              <w:t>Biologist MSc</w:t>
            </w:r>
            <w:r>
              <w:br/>
            </w:r>
            <w:r w:rsidR="00E77B23">
              <w:t>BSc, 9.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Sramkó</w:t>
            </w:r>
          </w:p>
          <w:p w:rsidR="00DB4822" w:rsidRDefault="00DB4822" w:rsidP="009763E0">
            <w:pPr>
              <w:pStyle w:val="Konzulensektitulus"/>
            </w:pPr>
            <w:r w:rsidRPr="00DB4822">
              <w:t>postdoctoral researcher,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Phylogeography of a mesophilous broad-leaved species, primrose (Primula vulgaris Huds.) at a European scale with specieal reference to the Carpathian Basin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Primrose (Primula vulgaris Huds.) is a small, mesophilous, rhizomatous herb with insect pollination. The distribution area extends from the Caucasus Mts. to the British Isles, and from Norway to North-Africa. In this study we investigated the postglacial colonization routes of this atlantic-submediterranean species with a special attention paid to the Carpathian Basin. The distribution pattern within the basin was previously interpreted as an illustration of the Illyrian-Dacian migration routes hypothesis. According to this view there were two independent routes colonizing the region from the southern refuges: one on the western part of the basin from the Illyrian regions through the Noricum, and another on the eastern part of the basin from the Balkans through the Dacian regions. We tested the hypothesis, which implies a glacial survival in southern European main peninsulas, by molecular phylogeogrphic methods. Based on sequences of non-coding DNA-regions, the nuclear ribosomal ITS and two plastid regions (trnL-trnF and rpl32-trnL) we reconstructed the ribo-, and haplotype-networks of the studied populations to recover colonisation routes. In case of 13 populations from the Carpathian Basin we added microsatellites to the sequence-based evidence; we genotyped these populations based on 14 microsatellite loci to calculate the genetic distance between each population. We identified the probable migration routes based on the sequence-dataset, which shows an east-to-west colonisation in Europe without bearing evidence of any south-to-north colonisation. The eastern Caucasus Mts. can be appointed as the most-ancient source area for the species. Surprisingly, the most ancient ribotype is shared between the Carpathian Basin and the Caucasus Mts., which highlights the central role of our region in the colonisation of Europe. We did not find any evidence to support the Illyrian- Dacian migration hypothesis, because the plant has not colonised Europe from the main peninsulas.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26614">
    <w:multiLevelType w:val="hybridMultilevel"/>
    <w:lvl w:ilvl="0" w:tplc="16167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26614">
    <w:abstractNumId w:val="96026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0940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