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FREYTAG CSONGOR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PABAR SÁNDOR ATTILA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Máthé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Kárpát-medencei Crocus fajok szövettenyésztése és szekunder metabolit termelő képességük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Crocus banaticus, Crocus heuffelianus, Crocus tommasinianus, Crocus scepusiensis, Crocus vittatus és a Crocus sativus fajokból sikeresen indítottunk és stabil kallusztenyészeteket hoztunk létre. Ezáltal több kárpát-medencei faj van az in vitro gyűjteményünkben, amelyeket megőrizhetünk és későbbi kísérletekhez felhasználhatunk. Eltérő auxin-citokinin arányokat használva sikerült kalluszképzést indukálni, és a hormonarányon változtatva, differenciálódásra késztetni az explantátumként használt növényi részeket. Minden, a jelen munkában szereplő kárpát-medencei vadon élő faj esetében, tudomásunk szerint kutatócsoportunknak sikerült először növényregenerálásra képes kallusztenyészeteket előállítani. Ezek a tenyészetek potenciálisan felhasználhatóak genotípus megőrzésre, amely azért is jelentős, mert e fajok védettek.</w:t>
      </w:r>
      <w:r>
        <w:rPr>
          <w:color w:val="000000"/>
          <w:sz w:val="24"/>
          <w:szCs w:val="24"/>
        </w:rPr>
        <w:br/>
        <w:t xml:space="preserve">Crocus heuffelianus és Crocus scepusiensis magokat csíráztattunk auxin és citokinin hormonokat tartalmazó, illetve azoktól mentes MS* táptalajon. A magokat előzőleg hideggel és GA3-mal kezeltük. A kicsírázott magokból stabil kallusz vonalakat hoztunk létre.</w:t>
      </w:r>
      <w:r>
        <w:rPr>
          <w:color w:val="000000"/>
          <w:sz w:val="24"/>
          <w:szCs w:val="24"/>
        </w:rPr>
        <w:br/>
        <w:t xml:space="preserve">Több fajnál végeztünk előzetes antioxidáns kapacitásra, enzimaktivitás méréseket. A szövettenyészetek, szinte mindig alulmaradtak az eredeti növényekhez képest. Ennek ellenére, a C. sativus és a C. banaticus szövettenyészetek magas szabadgyök semlegesítő kapacitást mutattak, C. scepusiensis és C. heuffelianus (Pósaháza) tenyészetek ugyanakkor magas enzimatikus antioxidáns kapacitást mutattak. A C. sativus szövettenyészetek gyökérképző kalluszait külön kiemeljük, hiszen ezekben a szabadgyök semlegesítő kapacitás és a peroxidáz aktivitás is magas volt. Ezeket a tenyészeteket érdemes tovább vizsgálni, az antioxidáns kapacitás optimalizálása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25822">
    <w:multiLevelType w:val="hybridMultilevel"/>
    <w:lvl w:ilvl="0" w:tplc="13025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25822">
    <w:abstractNumId w:val="48025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04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