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FREYTAG</w:t>
            </w:r>
          </w:p>
          <w:p w:rsidR="00C275A3" w:rsidRDefault="00A96AEC" w:rsidP="00C275A3">
            <w:pPr>
              <w:pStyle w:val="Hallgatokepzes"/>
            </w:pPr>
            <w:r>
              <w:t>Biology</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SÁNDOR ATTILA PABAR</w:t>
            </w:r>
          </w:p>
          <w:p w:rsidR="00DB4822" w:rsidRDefault="00C275A3" w:rsidP="004D7940">
            <w:pPr>
              <w:pStyle w:val="Hallgatokepzes"/>
            </w:pPr>
            <w:r>
              <w:t>Biology</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Máthé</w:t>
            </w:r>
          </w:p>
          <w:p w:rsidR="00DB4822" w:rsidRDefault="00DB4822" w:rsidP="009763E0">
            <w:pPr>
              <w:pStyle w:val="Konzulensektitulus"/>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Tissue cultures and secondary metabolite production capacity in the Carpathian Basin Crocus species.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induced and have established stable callus cultures of Crocus banaticus, C. heuffelianus, C. tommasinianus, C. scepusiensis, C. sativus and C. vittatus species. This way we have several Carpathian Basin species in our in vitro collection, that are we can maintain and can be used for further experiments. Using different auxin-cytokinin ratios we could induce callus formation and changing of hormone ratio we obtained differentiated organs. For each of the Carpathian Basin wild species in the present work, to our best knowledge our research group could succeed for the first time in producing callus cultures with plant regeneration ability. These cultures can be potentially used for genotype preservation, which is significant because these species are protected.</w:t>
      </w:r>
      <w:r>
        <w:rPr>
          <w:color w:val="000000"/>
          <w:sz w:val="24"/>
          <w:szCs w:val="24"/>
        </w:rPr>
        <w:br/>
        <w:t xml:space="preserve">Crocus scepusiensis C. heuffelianus seeds were germinated on auxin and cytokinin hormones containing MS * medium as well as hormone free MS* medium. The seeds were previously treated with cold and GA3. With the aid of germinated seeds, stable callus lines were established.</w:t>
      </w:r>
      <w:r>
        <w:rPr>
          <w:color w:val="000000"/>
          <w:sz w:val="24"/>
          <w:szCs w:val="24"/>
        </w:rPr>
        <w:br/>
        <w:t xml:space="preserve">For several species preliminary measurements of antioxidant capacity and enzyme activity were carried out. In tissue cultures these capacities/ activities are almost always lower as compared to the original plants. Nevertheless, the C. sativus and C. banaticus tissue cultures showed a high capacity for neutralizing of free radicals, and C. scepusiensis and C. heuffelianus (Pósaháza) cultures showed a high enzymatic antioxidant capacity. C. sativus root forming calli were preferred because their free radical neutralizing capacity and peroxidase activity were high. These cultures should be further investigated in order to optimize the antioxidant capacity.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82598">
    <w:multiLevelType w:val="hybridMultilevel"/>
    <w:lvl w:ilvl="0" w:tplc="50415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82598">
    <w:abstractNumId w:val="11782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025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