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JUDIT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Nikitscher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 mérnök,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erőmodell finomesztergálás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forgácsoláskor fellépő erőhatások ismerete nagy jelentőséggel bír. Az adott eljárástól függően nagy befolyással vannak a szerszámgép terhelésére, valamint a munkadarab deformálódására (karcsú tengelyek kihajlása). Meghatározásuknak legpontosabb módszere a mérés. Alkalmazása azonban számos nehézségbe ütközik.</w:t>
      </w:r>
      <w:r>
        <w:rPr>
          <w:color w:val="000000"/>
          <w:sz w:val="24"/>
          <w:szCs w:val="24"/>
        </w:rPr>
        <w:br/>
        <w:t xml:space="preserve">Az esztergáláskor fellépő erőhatások az anyagjellemzőkön és forgácsolási adatokon kívül erősen függenek a forgács alakját (vastagság és szélesség) meghatározó szerszám élgeometriájától. A finomesztergálás körülményei között szinte kizárólag a szerszám csúcsugara vesz részt a forgácsleválasztásban.</w:t>
      </w:r>
      <w:r>
        <w:rPr>
          <w:color w:val="000000"/>
          <w:sz w:val="24"/>
          <w:szCs w:val="24"/>
        </w:rPr>
        <w:br/>
        <w:t xml:space="preserve">Szakdolgozatom keretein belül finomesztergálás technológiájára dolgoztam ki egy új erőmodellt, mely a hagyományos mechanikai analógián alapuló Kienzle-Victor formulából indul ki, de figyelembe veszi a finomesztergáláskor kialakuló forgácskeresztmetszet (Kienzle-Victor modelltől eltérő) jellegét.</w:t>
      </w:r>
      <w:r>
        <w:rPr>
          <w:color w:val="000000"/>
          <w:sz w:val="24"/>
          <w:szCs w:val="24"/>
        </w:rPr>
        <w:br/>
        <w:t xml:space="preserve">A modellbe bevezettem a h</w:t>
      </w:r>
      <w:r>
        <w:rPr>
          <w:color w:val="000000"/>
          <w:position w:val="-4"/>
          <w:sz w:val="21"/>
          <w:szCs w:val="21"/>
          <w:vertAlign w:val="subscript"/>
        </w:rPr>
        <w:t xml:space="preserve">eq</w:t>
      </w:r>
      <w:r>
        <w:rPr>
          <w:color w:val="000000"/>
          <w:sz w:val="24"/>
          <w:szCs w:val="24"/>
        </w:rPr>
        <w:t xml:space="preserve"> és l</w:t>
      </w:r>
      <w:r>
        <w:rPr>
          <w:color w:val="000000"/>
          <w:position w:val="-4"/>
          <w:sz w:val="21"/>
          <w:szCs w:val="21"/>
          <w:vertAlign w:val="subscript"/>
        </w:rPr>
        <w:t xml:space="preserve">eff</w:t>
      </w:r>
      <w:r>
        <w:rPr>
          <w:color w:val="000000"/>
          <w:sz w:val="24"/>
          <w:szCs w:val="24"/>
        </w:rPr>
        <w:t xml:space="preserve"> forgácskeresztmetszet jellemzőket, melyekkel pontosan leírhatóak a finomesztergáláskor kialakuló forgács geometriai jellemzői. A forgácskeresztmetszetek ennél a technológiánál lényegesen kisebbek ezért bevezetésre került az ún. k</w:t>
      </w:r>
      <w:r>
        <w:rPr>
          <w:color w:val="000000"/>
          <w:position w:val="-4"/>
          <w:sz w:val="21"/>
          <w:szCs w:val="21"/>
          <w:vertAlign w:val="subscript"/>
        </w:rPr>
        <w:t xml:space="preserve">c1.0,1</w:t>
      </w:r>
      <w:r>
        <w:rPr>
          <w:color w:val="000000"/>
          <w:sz w:val="24"/>
          <w:szCs w:val="24"/>
        </w:rPr>
        <w:t xml:space="preserve">, k</w:t>
      </w:r>
      <w:r>
        <w:rPr>
          <w:color w:val="000000"/>
          <w:position w:val="-4"/>
          <w:sz w:val="21"/>
          <w:szCs w:val="21"/>
          <w:vertAlign w:val="subscript"/>
        </w:rPr>
        <w:t xml:space="preserve">f1.0,1</w:t>
      </w:r>
      <w:r>
        <w:rPr>
          <w:color w:val="000000"/>
          <w:sz w:val="24"/>
          <w:szCs w:val="24"/>
        </w:rPr>
        <w:t xml:space="preserve">, és k</w:t>
      </w:r>
      <w:r>
        <w:rPr>
          <w:color w:val="000000"/>
          <w:position w:val="-4"/>
          <w:sz w:val="21"/>
          <w:szCs w:val="21"/>
          <w:vertAlign w:val="subscript"/>
        </w:rPr>
        <w:t xml:space="preserve">p1.0,1</w:t>
      </w:r>
      <w:r>
        <w:rPr>
          <w:color w:val="000000"/>
          <w:sz w:val="24"/>
          <w:szCs w:val="24"/>
        </w:rPr>
        <w:t xml:space="preserve">, a térbeli erőkomponensek fajlagos főértékei (mely l</w:t>
      </w:r>
      <w:r>
        <w:rPr>
          <w:color w:val="000000"/>
          <w:position w:val="-4"/>
          <w:sz w:val="21"/>
          <w:szCs w:val="21"/>
          <w:vertAlign w:val="subscript"/>
        </w:rPr>
        <w:t xml:space="preserve">eff</w:t>
      </w:r>
      <w:r>
        <w:rPr>
          <w:color w:val="000000"/>
          <w:sz w:val="24"/>
          <w:szCs w:val="24"/>
        </w:rPr>
        <w:t xml:space="preserve"> = 1 mm; és h</w:t>
      </w:r>
      <w:r>
        <w:rPr>
          <w:color w:val="000000"/>
          <w:position w:val="-4"/>
          <w:sz w:val="21"/>
          <w:szCs w:val="21"/>
          <w:vertAlign w:val="subscript"/>
        </w:rPr>
        <w:t xml:space="preserve">eq</w:t>
      </w:r>
      <w:r>
        <w:rPr>
          <w:color w:val="000000"/>
          <w:sz w:val="24"/>
          <w:szCs w:val="24"/>
        </w:rPr>
        <w:t xml:space="preserve"> = 0,1 mm forgácskeresztmetszethez tartozik).</w:t>
      </w:r>
      <w:r>
        <w:rPr>
          <w:color w:val="000000"/>
          <w:sz w:val="24"/>
          <w:szCs w:val="24"/>
        </w:rPr>
        <w:br/>
        <w:t xml:space="preserve">Munkám során háromféle az iparban gyakran használt anyagféleségen (C45, Ko36, AS12) végeztem erőtani vizsgálatokat, melyeknél mindhárom erőkomponensre kidolgoztam az új erőmodellt.</w:t>
      </w:r>
      <w:r>
        <w:rPr>
          <w:color w:val="000000"/>
          <w:sz w:val="24"/>
          <w:szCs w:val="24"/>
        </w:rPr>
        <w:br/>
        <w:t xml:space="preserve">A vizsgálatok szerint a fajlagos forgácsoló erő összetevőire (k</w:t>
      </w:r>
      <w:r>
        <w:rPr>
          <w:color w:val="000000"/>
          <w:position w:val="-4"/>
          <w:sz w:val="21"/>
          <w:szCs w:val="21"/>
          <w:vertAlign w:val="subscript"/>
        </w:rPr>
        <w:t xml:space="preserve">c</w:t>
      </w:r>
      <w:r>
        <w:rPr>
          <w:color w:val="000000"/>
          <w:sz w:val="24"/>
          <w:szCs w:val="24"/>
        </w:rPr>
        <w:t xml:space="preserve">, k</w:t>
      </w:r>
      <w:r>
        <w:rPr>
          <w:color w:val="000000"/>
          <w:position w:val="-4"/>
          <w:sz w:val="21"/>
          <w:szCs w:val="21"/>
          <w:vertAlign w:val="subscript"/>
        </w:rPr>
        <w:t xml:space="preserve">f</w:t>
      </w:r>
      <w:r>
        <w:rPr>
          <w:color w:val="000000"/>
          <w:sz w:val="24"/>
          <w:szCs w:val="24"/>
        </w:rPr>
        <w:t xml:space="preserve">, k</w:t>
      </w:r>
      <w:r>
        <w:rPr>
          <w:color w:val="000000"/>
          <w:position w:val="-4"/>
          <w:sz w:val="21"/>
          <w:szCs w:val="21"/>
          <w:vertAlign w:val="subscript"/>
        </w:rPr>
        <w:t xml:space="preserve">p</w:t>
      </w:r>
      <w:r>
        <w:rPr>
          <w:color w:val="000000"/>
          <w:sz w:val="24"/>
          <w:szCs w:val="24"/>
        </w:rPr>
        <w:t xml:space="preserve">) és a forgácsolóerő komponensekre (F</w:t>
      </w:r>
      <w:r>
        <w:rPr>
          <w:color w:val="000000"/>
          <w:position w:val="-4"/>
          <w:sz w:val="21"/>
          <w:szCs w:val="21"/>
          <w:vertAlign w:val="subscript"/>
        </w:rPr>
        <w:t xml:space="preserve">c</w:t>
      </w:r>
      <w:r>
        <w:rPr>
          <w:color w:val="000000"/>
          <w:sz w:val="24"/>
          <w:szCs w:val="24"/>
        </w:rPr>
        <w:t xml:space="preserve">, F</w:t>
      </w:r>
      <w:r>
        <w:rPr>
          <w:color w:val="000000"/>
          <w:position w:val="-4"/>
          <w:sz w:val="21"/>
          <w:szCs w:val="21"/>
          <w:vertAlign w:val="subscript"/>
        </w:rPr>
        <w:t xml:space="preserve">f</w:t>
      </w:r>
      <w:r>
        <w:rPr>
          <w:color w:val="000000"/>
          <w:sz w:val="24"/>
          <w:szCs w:val="24"/>
        </w:rPr>
        <w:t xml:space="preserve">, F</w:t>
      </w:r>
      <w:r>
        <w:rPr>
          <w:color w:val="000000"/>
          <w:position w:val="-4"/>
          <w:sz w:val="21"/>
          <w:szCs w:val="21"/>
          <w:vertAlign w:val="subscript"/>
        </w:rPr>
        <w:t xml:space="preserve">p</w:t>
      </w:r>
      <w:r>
        <w:rPr>
          <w:color w:val="000000"/>
          <w:sz w:val="24"/>
          <w:szCs w:val="24"/>
        </w:rPr>
        <w:t xml:space="preserve">) felépített erőmodellek nagy pontossággal leírják és modellezik a mérések során meghatározott erőértékeket.</w:t>
      </w:r>
      <w:r>
        <w:rPr>
          <w:color w:val="000000"/>
          <w:sz w:val="24"/>
          <w:szCs w:val="24"/>
        </w:rPr>
        <w:br/>
        <w:t xml:space="preserve">Egyértelműen megállapítható, hogy a létrehozott egyenletek a főforgácsolóerő esetén bizonyultak a legpontosabbnak, az előtolás irányú, valamint a passzív erőkomponensek esetében nagyobb mértékű eltérés tapasztalható a mért és a számított értékek között. Összességében mégis kijelenthető, hogy a felállított modellek az elvárható pontossággal leírják a forgácsolási folyamatok során fellépő erőhatások mindhárom összetevőjének várható nagyságát a finomesztergálás eljárásának paraméter tartományán belül.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59168">
    <w:multiLevelType w:val="hybridMultilevel"/>
    <w:lvl w:ilvl="0" w:tplc="45056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59168">
    <w:abstractNumId w:val="122591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680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