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PACZONA</w:t>
            </w:r>
          </w:p>
          <w:p w:rsidR="00C275A3" w:rsidRDefault="00A96AEC" w:rsidP="00C275A3">
            <w:pPr>
              <w:pStyle w:val="Hallgatokepzes"/>
            </w:pPr>
            <w:r>
              <w:t>Finance and accounting</w:t>
            </w:r>
            <w:r>
              <w:br/>
            </w:r>
            <w:r w:rsidR="00E77B23">
              <w:t>BA, 7. semester</w:t>
            </w:r>
          </w:p>
          <w:p w:rsidR="00C265CE" w:rsidRPr="009E5FF1" w:rsidRDefault="00E77B23" w:rsidP="00BA6BAF">
            <w:pPr>
              <w:pStyle w:val="Hallgatointezmeny-kar"/>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Rita Anna Ambrus</w:t>
            </w:r>
          </w:p>
          <w:p w:rsidR="00DB4822" w:rsidRDefault="00DB4822" w:rsidP="00BA6BAF">
            <w:pPr>
              <w:pStyle w:val="Konzulensektitulus"/>
            </w:pPr>
            <w:r w:rsidRPr="00DB4822">
              <w:t>associate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Household savings analysis in consideration of changes in the tax environment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households, savings, rearrangement, self-provision, D14</w:t>
      </w:r>
      <w:r>
        <w:t xml:space="preserve"/>
      </w:r>
    </w:p>
    <w:p>
      <w:pPr>
        <w:widowControl w:val="on"/>
        <w:pBdr/>
        <w:spacing w:before="240" w:after="240" w:line="240" w:lineRule="auto"/>
        <w:ind w:left="0" w:right="0"/>
        <w:jc w:val="left"/>
      </w:pPr>
      <w:r>
        <w:rPr>
          <w:color w:val="000000"/>
          <w:sz w:val="24"/>
          <w:szCs w:val="24"/>
        </w:rPr>
        <w:t xml:space="preserve">The financial wealth of the Hungarian households has increased excessively in the last few years. The change can be basically traced back to the modifications of the taxation system as well as to the financial crisis (and to its effects on the behavior of the population).</w:t>
      </w:r>
    </w:p>
    <w:p>
      <w:pPr>
        <w:widowControl w:val="on"/>
        <w:pBdr/>
        <w:spacing w:before="240" w:after="240" w:line="240" w:lineRule="auto"/>
        <w:ind w:left="0" w:right="0"/>
        <w:jc w:val="left"/>
      </w:pPr>
      <w:r>
        <w:rPr>
          <w:color w:val="000000"/>
          <w:sz w:val="24"/>
          <w:szCs w:val="24"/>
        </w:rPr>
        <w:t xml:space="preserve">Beyond the increase there has also been a turn in the composition of the financial wealth. As a result of the rate cuts of the Central Bank of Hungary, the rates of the most popular form of savings - bank deposits, has decreased significantly, which has clearly drawn the attention of the sector to the securities mainly to savings bonds and government securities. Besides the decreasing rate in the interest rate environment additional factors also contributed to the decrease of the stock of deposits, and to the increase of the stock of securities. The taxation system has been reformed several times since the change of government, which resulted the introduction of such tax categories as the supertax of the financial institutions, the health contribution charged after savings, and the financial transaction fees charged after each transactions.</w:t>
      </w:r>
    </w:p>
    <w:p>
      <w:pPr>
        <w:widowControl w:val="on"/>
        <w:pBdr/>
        <w:spacing w:before="240" w:after="240" w:line="240" w:lineRule="auto"/>
        <w:ind w:left="0" w:right="0"/>
        <w:jc w:val="left"/>
      </w:pPr>
      <w:r>
        <w:rPr>
          <w:color w:val="000000"/>
          <w:sz w:val="24"/>
          <w:szCs w:val="24"/>
        </w:rPr>
        <w:t xml:space="preserve">Simultaneously with the structural transformation, the stock of mid- and long-term savings has started to increase, and related to these more and more heed is paid to financial provision. The state also considers the incentive of long-term savings as a priority, which it wants to promote through the taxation system with tax benefits. Numerous saving opportunities are available for the population, of which stand out the products aiming to provide financial security for the retirement. The contributories can avail themselves a savings grant, which reduces their tax liability, but alongside the products, the supporting system also has deficiencies, errors which reduce the long-term propensity to save in the sector. On a yearly basis a huge amount of saving is required in order to be able to take full advantage of the tax relief, and at the present conditions of the taxation system the employee might not possess the required amount of tax liability, which could serve as the basis of the allowance. In total the goal is noble, nevertheless the allowances should be adjusted to the financial situation, needs of the population in order to further facilitate long-term savings.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47128">
    <w:multiLevelType w:val="hybridMultilevel"/>
    <w:lvl w:ilvl="0" w:tplc="43088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47128">
    <w:abstractNumId w:val="162471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33762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