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NAGY</w:t>
            </w:r>
          </w:p>
          <w:p w:rsidR="00C275A3" w:rsidRDefault="00A96AEC" w:rsidP="00C275A3">
            <w:pPr>
              <w:pStyle w:val="Hallgatokepzes"/>
            </w:pPr>
            <w:r>
              <w:t>Business Development</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Gilányi</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Effectiveness of economic policy answers to the crisis in the light of the neoclassical synthesis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policy; neoclassical synthesis model</w:t>
      </w:r>
      <w:r>
        <w:t xml:space="preserve"/>
      </w:r>
    </w:p>
    <w:p>
      <w:pPr>
        <w:widowControl w:val="on"/>
        <w:pBdr/>
        <w:spacing w:before="240" w:after="240" w:line="240" w:lineRule="auto"/>
        <w:ind w:left="0" w:right="0"/>
        <w:jc w:val="left"/>
      </w:pPr>
      <w:r>
        <w:rPr>
          <w:color w:val="000000"/>
          <w:sz w:val="24"/>
          <w:szCs w:val="24"/>
        </w:rPr>
        <w:t xml:space="preserve">The 2008 year’s economic crisis has still its effects. The different countries were aiming at boosting their economies with several economic policy answers. Following the governments’ official communications the major elements of these answers were the increase of the money supply in order to overcome the liquidity crisis, the decrease of the interest rate in order to help investments and the increase of the government expenditures to create new jobs. In this work I have examined the effectiveness of these economic policy answers in the light of the neoclassical synthesis model in the United States, Germany, France, Sweden, and Japan. These countries are important market economies of the world; Sweden was selected because of the Scandinavian economic model.</w:t>
      </w:r>
      <w:r>
        <w:rPr>
          <w:color w:val="000000"/>
          <w:sz w:val="24"/>
          <w:szCs w:val="24"/>
        </w:rPr>
        <w:br/>
        <w:t xml:space="preserve">In spite of the fact that the neoclassical synthesis model is basically a static model, it makes possible the understanding of the macroeconomic phenomena: from theoretical point of view, in principle the economic policy answers have really the effects, which were communicated by the governments. Namely following the theory, the increase of the liquidity in the economy – money creation – goes in parallel with the decrease of the interest rate and the increase of the investments, which connected to the increase of the government expenditures implies the increase of the production and by the same token the employment. The economic policy answers were more or less effective in the five countries: the GDP increased and the unemployment decreased.</w:t>
      </w:r>
      <w:r>
        <w:rPr>
          <w:color w:val="000000"/>
          <w:sz w:val="24"/>
          <w:szCs w:val="24"/>
        </w:rPr>
        <w:br/>
        <w:t xml:space="preserve">Only France is partly an exception from the above mentioned general conclusions. On the one hand, only France has introduced in addition to the expansive fiscal policy (increase of the government expenditures) restrictive fiscal policy elements by increasing taxes in order to equilibrate the government’s deficit. On the other hand, only France has experienced a GDP increase without the decrease of the unemployment. This phenomenon might be explained by the extension of basic static version of the neoclassical synthesis model with the effective wage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62495">
    <w:multiLevelType w:val="hybridMultilevel"/>
    <w:lvl w:ilvl="0" w:tplc="92309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62495">
    <w:abstractNumId w:val="94962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463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