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NIKOLETT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Fábián Attila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régiók rugalmasságának és homogenitásának együtthatása a területi versenyképességre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régió; homogenitás; heterogenitás; Nyugat-Dunántúl; Burgenland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több nemzetközi tanulmány figyelme fordult a régiók rugalmasságának vizsgálata felé, hogy mely tényezők befolyásolhatják a gazdasági válságokra és környezeti katasztrófákra való reakcióképesség gyorsaságát, a válaszok minőségét és hatékonyságát. A régiók reakció-, alkalmazkodó- és ellenálló képességét, az adott válaszok minőségét az egyes régiókra jellemző mutatók időbeli változásának mértékével vizsgálták. A régiók vizsgálatához önmagában nem elegendő az egész régióra vonatkozó mutatószámok ismerete, hanem szükséges a régió belső szerkezetének megismerése is.</w:t>
      </w:r>
      <w:r>
        <w:rPr>
          <w:color w:val="000000"/>
          <w:sz w:val="24"/>
          <w:szCs w:val="24"/>
        </w:rPr>
        <w:br/>
        <w:t xml:space="preserve">Kutatásom során kiválasztottam azokat a tényezőket, amelyeket a helyi társadalom leginkább fontosnak tart a régiók rugalmasságában és versenyképességében. Ezeket a tényezőket két NUTS 2-es tervezési és statisztikai régió – Magyarország és Ausztria egymással szomszédos régiói – példáján komplexen vizsgáltam. A fenti indikátorok vizsgálatára alkalmas módszertant alkalmaztam, amelynek segítségével meghatároztam a vizsgált régiók legfontosabbnak tartott regionális és településkörnyezeti összefüggéseit, valamint a régiókban működő vállalatokra jellemző ugyancsak legfontosabbnak tartott tulajdonságokat. A vizsgálat során kialakított indikátor alkalmas lehet a régiók rugalmasságának bővebb értelmezésére, és közelebb vihetnek a régiók versenyképességének pontosabb meghatározásához. Az alkalmazott módszertan és indikátorrendszer segítségével a két vizsgált régió példáján elemeztem a régiókon belüli erősségeket és gyengeségeket, és meghatároztam az egyes tulajdonságokra vonatkozóan a régiók homogenitását.</w:t>
      </w:r>
      <w:r>
        <w:rPr>
          <w:color w:val="000000"/>
          <w:sz w:val="24"/>
          <w:szCs w:val="24"/>
        </w:rPr>
        <w:br/>
        <w:t xml:space="preserve">Elvégeztem a kapott eredmények újszerű komplex elemzését, ami segítséget nyújthat a régiók gazdasági fejlődésének, krízishelyzetekre adott válaszerősségének feltárásában, a régiók alatti területi szintből kiindulva. Igazoltam, hogy a régiókat alkotó területi egységek vizsgálata és elemzése szükséges ahhoz, hogy reális képet kaphassunk a régiók eltérő versenyképességéről és rugalmasságáról.</w:t>
      </w:r>
      <w:r>
        <w:rPr>
          <w:color w:val="000000"/>
          <w:sz w:val="24"/>
          <w:szCs w:val="24"/>
        </w:rPr>
        <w:br/>
        <w:t xml:space="preserve">A régiók versenyképessége nemcsak a gazdasági fejlettségükön, hanem a fejlesztések tervszerűségén, a lakosság fejlesztésekben való érdekeltségén, kulturáltságán, képzettségén, etikai normáinak és hagyományainak megtartásán is múlik. Ebből következően annak endogén és exogén erodációja gyengítheti a területi versenyképességet. A kialakított módszertan és indikátorok a későbbiekben alkalmasak lehetnek európai, területi versenyképességet vizsgáló pilot kutatási projektekben való alkalmazásra.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56739">
    <w:multiLevelType w:val="hybridMultilevel"/>
    <w:lvl w:ilvl="0" w:tplc="84692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56739">
    <w:abstractNumId w:val="43856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674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