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FAZEKAS</w:t>
            </w:r>
          </w:p>
          <w:p w:rsidR="00C275A3" w:rsidRDefault="00A96AEC" w:rsidP="00C275A3">
            <w:pPr>
              <w:pStyle w:val="Hallgatokepzes"/>
            </w:pPr>
            <w:r>
              <w:t> International Economy and Business</w:t>
            </w:r>
            <w:r>
              <w:br/>
            </w:r>
            <w:r w:rsidR="00E77B23">
              <w:t>MA, 4.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PhD Attila Fábián</w:t>
            </w:r>
          </w:p>
          <w:p w:rsidR="00DB4822" w:rsidRDefault="00DB4822" w:rsidP="00E11062">
            <w:pPr>
              <w:pStyle w:val="Konzulensek"/>
            </w:pPr>
            <w:r w:rsidRPr="00DB4822">
              <w:t>associate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Interference of the Regions' Resilience and Homogeneity onto the Territorial Competitiveness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region; homogeneity; heterogeneity; Western Transdanubia; Burgenland</w:t>
      </w:r>
      <w:r>
        <w:t xml:space="preserve"/>
      </w:r>
    </w:p>
    <w:p>
      <w:pPr>
        <w:widowControl w:val="on"/>
        <w:pBdr/>
        <w:spacing w:before="240" w:after="240" w:line="240" w:lineRule="auto"/>
        <w:ind w:left="0" w:right="0"/>
        <w:jc w:val="left"/>
      </w:pPr>
      <w:r>
        <w:rPr>
          <w:color w:val="000000"/>
          <w:sz w:val="24"/>
          <w:szCs w:val="24"/>
        </w:rPr>
        <w:t xml:space="preserve">Recently, many international studies have concentrated on the examination of the regions’ resilience trying to find out which factors can influence the reactivity’s quickness of the economical crises and environmental catastrophes, the quality and effectiveness of the responses. The regions’ reactivity, adaptability, resistivity and the quality of the responses were measured by the temporal change of the typical regional indicators. By measuring the regions, it is not merely enough to have a knowledge of all of the regions’ indices, but it is necessary to learn the regions’ inner structures as well.</w:t>
      </w:r>
      <w:r>
        <w:rPr>
          <w:color w:val="000000"/>
          <w:sz w:val="24"/>
          <w:szCs w:val="24"/>
        </w:rPr>
        <w:br/>
        <w:t xml:space="preserve">During my research I have selected those factors that were considered the most important by the inhabitants in the aspect of the regions’ resilience and competitiveness. I measured these factors complex on an example of two (Hungarian and Austrian neighboor regions) NUTS 2 statistical regions. For analysing these indicators, I applied a suitable methodology, with the help of which I defined the examined regions’ most important regional and local-environmental connections, and the most important features of the regions’ companies. The elaborated indicator can be useful for a wider explanation of the regions’ resilience and which can lead us to define the competitiveness of the regions. With the help of the applied methodology and the prepared indicator system I analysed the strengths and weaknesses on the example of the two NUTS 2 regions and I defined the regions’ homogeneity regarding to the characteristics.</w:t>
      </w:r>
      <w:r>
        <w:rPr>
          <w:color w:val="000000"/>
          <w:sz w:val="24"/>
          <w:szCs w:val="24"/>
        </w:rPr>
        <w:br/>
        <w:t xml:space="preserve">I made a complex modern analysis on the gained results, which can be helpful to define the regions’ economic development and the strengths of the crisis reactions, starting from the below-regional, territorial levels. I verified, that the examination and analysis of the regions’ territorial structures is necessary to get a real picture of the regions’ competitiveness and resilience.</w:t>
      </w:r>
      <w:r>
        <w:rPr>
          <w:color w:val="000000"/>
          <w:sz w:val="24"/>
          <w:szCs w:val="24"/>
        </w:rPr>
        <w:br/>
        <w:t xml:space="preserve">A region’s competitiveness not only depends on the economic development, but also on the purposefully developments, the population’s interest in developments, its culture, qualification and on the ethical norms and traditions to be kept. Consequently, the endogene and exogene erodations can weaken the regional competitiveness. The created methodology and indicators may be suitable in the European regional pilot research projects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09962">
    <w:multiLevelType w:val="hybridMultilevel"/>
    <w:lvl w:ilvl="0" w:tplc="20637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09962">
    <w:abstractNumId w:val="998099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80720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