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VIZY</w:t>
            </w:r>
          </w:p>
          <w:p w:rsidR="00C275A3" w:rsidRDefault="00A96AEC" w:rsidP="00C275A3">
            <w:pPr>
              <w:pStyle w:val="Hallgatokepzes"/>
            </w:pPr>
            <w:r>
              <w:t>International Economy and Business</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Imre Tóth PhD</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security of the trans-atlantic region sustainable after the economic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end of the bipolar world, security as a complex phenomenon was transfigured. With the collapse of the enemy, economic factors shifted to the focus of maintenance of security rather than military aspects. Potential and prospective threat was replaced by unpredictable risk, neither of which is easy to deal with.</w:t>
      </w:r>
      <w:r>
        <w:rPr>
          <w:color w:val="000000"/>
          <w:sz w:val="24"/>
          <w:szCs w:val="24"/>
        </w:rPr>
        <w:br/>
        <w:t xml:space="preserve">New challenges await and different types of issues emerged in the post-bipolar world such as the case of failed states, terrorism, organized crime, cyber-attacks, energy crisis and the ever-growing amounts of debt. In today’s world, these types of threats can no longer be solved solely by military intervention. Defense economics aim to prepare the nation for these threats therefore economic security can become sustainable and the country remains operational.</w:t>
      </w:r>
      <w:r>
        <w:rPr>
          <w:color w:val="000000"/>
          <w:sz w:val="24"/>
          <w:szCs w:val="24"/>
        </w:rPr>
        <w:br/>
        <w:t xml:space="preserve">The eruption of the 2008 economic crisis had a negative impact on both developing and developed countries. In fact, according to the analyzed data, the latter suffered even more throughout the recession. Developing countries were less affected by the crisis therefore they could afford to spend more on defense.</w:t>
      </w:r>
      <w:r>
        <w:rPr>
          <w:color w:val="000000"/>
          <w:sz w:val="24"/>
          <w:szCs w:val="24"/>
        </w:rPr>
        <w:br/>
        <w:t xml:space="preserve">The West attempted to maintain the state and position of welfare states by pursuing austerity measures; however, governments were forced to cut public expenditure, heavily affecting the defensive sector. This contrast resulted in a major power shift from west to east.</w:t>
      </w:r>
      <w:r>
        <w:rPr>
          <w:color w:val="000000"/>
          <w:sz w:val="24"/>
          <w:szCs w:val="24"/>
        </w:rPr>
        <w:br/>
        <w:t xml:space="preserve">Was the global financial crisis the only cause of this shift of power?</w:t>
      </w:r>
      <w:r>
        <w:rPr>
          <w:color w:val="000000"/>
          <w:sz w:val="24"/>
          <w:szCs w:val="24"/>
        </w:rPr>
        <w:br/>
        <w:t xml:space="preserve">The examination of the actions of the two major organizations operating in the transatlantic region, the European Union and the North Atlantic Treaty Organisation, will provide the answer to this burning question.</w:t>
      </w:r>
      <w:r>
        <w:rPr>
          <w:color w:val="000000"/>
          <w:sz w:val="24"/>
          <w:szCs w:val="24"/>
        </w:rPr>
        <w:br/>
        <w:t xml:space="preserve">Cooperation between the two communities is essential. Short-term measures only mask the problem, therefore the formulation of long-term plans is necessary. These plans are currently under development in the Euro-Atlantic region.</w:t>
      </w:r>
      <w:r>
        <w:rPr>
          <w:color w:val="000000"/>
          <w:sz w:val="24"/>
          <w:szCs w:val="24"/>
        </w:rPr>
        <w:br/>
        <w:t xml:space="preserve">My specific idea – which may seem a bit utopian – is one of many attempts to solve this issue. The model suggested by the author of this paper is based on the Provincial Reconstruction Teams based in Afghanistan with focus on their structure and functioning. In this paper, I intend to apply the aforementioned PRT model on the security and defence policies of the two major transatlantic organizations, the EU and the NATO.</w:t>
      </w:r>
      <w:r>
        <w:rPr>
          <w:color w:val="000000"/>
          <w:sz w:val="24"/>
          <w:szCs w:val="24"/>
        </w:rPr>
        <w:br/>
        <w:t xml:space="preserve">As a result, a model of collaborative solution is created employing a cost-efficient, fast response army which is able to maintain the security of the region in the next decades.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90131">
    <w:multiLevelType w:val="hybridMultilevel"/>
    <w:lvl w:ilvl="0" w:tplc="76169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90131">
    <w:abstractNumId w:val="92490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201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