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KONCOS T. KORNÉL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Bodnár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bécsi nagybőgőiskola virágzása és háttérbe kerülésének okai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bécsi nagybőgő iskola virágzása és háttérbe kerülésének okai.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bécsi klasszicizmust vizsgálja "nagybőgős szemmel", különösen a bécsi nagybőgő iskolát.</w:t>
      </w:r>
      <w:r>
        <w:rPr>
          <w:color w:val="000000"/>
          <w:sz w:val="24"/>
          <w:szCs w:val="24"/>
        </w:rPr>
        <w:br/>
        <w:t xml:space="preserve">Erre az iskolára jellemző sajátosságokat próbálom feltárni, Karl Ditters von Dittersdorff E-dúr nagybőgőversenyének és  Wolfgang Amadeus Mozart Per questa bella mano obligat nagybőgőszólamának elemzésén keresztül. Ezekre a művekre jellemző egy sajátos dallamkezelés és figuráció. Megpróbálom feltráni az iskola sikerességét a bécsi klasszikus korban és háttérbeszorulásának okait a romantikában, Bottesini h-moll bőgőversenyén keresztül. Vizsgálom ezen túl a XXI. század álláspontját erről a hangolásról.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65830">
    <w:multiLevelType w:val="hybridMultilevel"/>
    <w:lvl w:ilvl="0" w:tplc="90845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65830">
    <w:abstractNumId w:val="386658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862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