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SOGOR</w:t>
            </w:r>
          </w:p>
          <w:p w:rsidR="00C275A3" w:rsidRDefault="00A96AEC" w:rsidP="00C275A3">
            <w:pPr>
              <w:pStyle w:val="Hallgatokepzes"/>
            </w:pPr>
            <w:r>
              <w:t>Undivided Mathematics and Music Teacher Program</w:t>
            </w:r>
            <w:r>
              <w:br/>
            </w:r>
            <w:r w:rsidR="00E77B23">
              <w:t>Unified,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Irina Ivanyickaja</w:t>
            </w:r>
          </w:p>
          <w:p w:rsidR="00DB4822" w:rsidRDefault="00DB4822" w:rsidP="00E11062">
            <w:pPr>
              <w:pStyle w:val="Konzulensek"/>
            </w:pPr>
            <w:r w:rsidRPr="00DB4822">
              <w:t>college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Sergei Rachmaninoff: Two a-minor Études-Tableaux from the op. 39. 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op. 39 Études-Tableaux series of Sergey Rachmaninoff contains two etudes in a minor (no. 2. and no. 6.), the analysis of which is the topic of this paper.</w:t>
      </w:r>
    </w:p>
    <w:p>
      <w:pPr>
        <w:widowControl w:val="on"/>
        <w:pBdr/>
        <w:spacing w:before="240" w:after="240" w:line="240" w:lineRule="auto"/>
        <w:ind w:left="0" w:right="0"/>
        <w:jc w:val="left"/>
      </w:pPr>
      <w:r>
        <w:rPr>
          <w:color w:val="000000"/>
          <w:sz w:val="24"/>
          <w:szCs w:val="24"/>
        </w:rPr>
        <w:br/>
        <w:t xml:space="preserve">The introduction provides a brief description of the life of the composer, of his music career, his outstanding music pieces, and also of the most important schools of music between the turn of the century and World War I. In the life of Rachmaninoff the stages that can be linked to the Russian Revolution are very important. The composer and pianist had to emigrate; the farewell from his motherland had painful effects on the composer and on his oeuvre too. He composed his second etude series (Études-Tableaux op. 39) through these tragic conditions in his life.</w:t>
      </w:r>
    </w:p>
    <w:p>
      <w:pPr>
        <w:widowControl w:val="on"/>
        <w:pBdr/>
        <w:spacing w:before="240" w:after="240" w:line="240" w:lineRule="auto"/>
        <w:ind w:left="0" w:right="0"/>
        <w:jc w:val="left"/>
      </w:pPr>
      <w:r>
        <w:rPr>
          <w:color w:val="000000"/>
          <w:sz w:val="24"/>
          <w:szCs w:val="24"/>
        </w:rPr>
        <w:br/>
        <w:t xml:space="preserve">I put more emphasis on the piece op. 39. no. 6 during the structural-formal analysis of the etudes; besides, I highlighted tonality. Rachmaninoff contrasts hyper chromaticism, which slackens tonality completely, and the centralising power of the a minor tone centre. One of the representatives of the Second Viennese School, Anton Webern presents in his works around op. 9. a special side branch of twelve tone technique: each tone attracts its chromatic neighbour. Pousseur called this phenomenon “organic chromaticism”, which can be detected in a part of Rachmaninoff’s no. 6. a minor etude.</w:t>
      </w:r>
    </w:p>
    <w:p>
      <w:pPr>
        <w:widowControl w:val="on"/>
        <w:pBdr/>
        <w:spacing w:before="240" w:after="240" w:line="240" w:lineRule="auto"/>
        <w:ind w:left="0" w:right="0"/>
        <w:jc w:val="left"/>
      </w:pPr>
      <w:r>
        <w:rPr>
          <w:color w:val="000000"/>
          <w:sz w:val="24"/>
          <w:szCs w:val="24"/>
        </w:rPr>
        <w:br/>
        <w:t xml:space="preserve">A separate chapter reflects on the system of symbols in etudes and with the possibilities of realisation. The train-motif, the summons of the Dies irae sequence, the experiences of war and political events may make the audience start thinking in a couple of ways. In his biography about Rachmaninoff, Sergei Bertensson records the history of the orchestration of the Études-Tableaux in a detailed way. In 1930 Ottorino Respighi was asked for the orchestration of five etudes written by Rachmaninoff. This event is also important from the aspect of the history of music, since the exchange of letters between the two composers reveals information that enriches the possible realisations of the etudes.</w:t>
      </w:r>
    </w:p>
    <w:p>
      <w:pPr>
        <w:widowControl w:val="on"/>
        <w:pBdr/>
        <w:spacing w:before="240" w:after="240" w:line="240" w:lineRule="auto"/>
        <w:ind w:left="0" w:right="0"/>
        <w:jc w:val="left"/>
      </w:pPr>
      <w:r>
        <w:rPr>
          <w:color w:val="000000"/>
          <w:sz w:val="24"/>
          <w:szCs w:val="24"/>
        </w:rPr>
        <w:br/>
        <w:t xml:space="preserve">Unfortunately, there is little literature about Rachmaninoff in Hungarian, consequently, Sergei Bertensson’s book „Sergei Rachmaninoff. A Lifetime in Music” provided major help in the research. What gives a real value to the book is that its author had a personal contact with Rachmaninoff, that is why the publication is of primary importance.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15617">
    <w:multiLevelType w:val="hybridMultilevel"/>
    <w:lvl w:ilvl="0" w:tplc="45624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15617">
    <w:abstractNumId w:val="71315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581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