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BODORNÉ KOVÁCS</w:t>
            </w:r>
          </w:p>
          <w:p w:rsidR="00C275A3" w:rsidRDefault="00A96AEC" w:rsidP="00C275A3">
            <w:pPr>
              <w:pStyle w:val="Hallgatokepzes"/>
            </w:pPr>
            <w:r>
              <w:t>Finance and Accounting</w:t>
            </w:r>
            <w:r>
              <w:br/>
            </w:r>
            <w:r w:rsidR="00E77B23">
              <w:t>BA, 7. semester</w:t>
            </w:r>
          </w:p>
          <w:p w:rsidR="00C265CE" w:rsidRPr="009E5FF1" w:rsidRDefault="00E77B23" w:rsidP="00BA6BAF">
            <w:pPr>
              <w:pStyle w:val="Hallgatointezmeny-kar"/>
              <w:rPr>
                <w:b/>
                <w:caps/>
              </w:rPr>
            </w:pPr>
            <w:r>
              <w:t>Kaposvár University</w:t>
            </w:r>
            <w:r w:rsidR="00C275A3">
              <w:br/>
            </w:r>
            <w:r w:rsidR="00DB4822">
              <w:t>Faculty of Economic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Anett Parádi Dolgos</w:t>
            </w:r>
          </w:p>
          <w:p w:rsidR="00DB4822" w:rsidRDefault="00DB4822" w:rsidP="00BA6BAF">
            <w:pPr>
              <w:pStyle w:val="Konzulensektitulus"/>
            </w:pPr>
            <w:r w:rsidRPr="00DB4822">
              <w:t>associate professor, KE GTK</w:t>
            </w:r>
          </w:p>
        </w:tc>
      </w:tr>
      <w:tr w:rsidR="00DB4822" w:rsidTr="00DB4822">
        <w:tc>
          <w:tcPr>
            <w:tcW w:w="9854" w:type="dxa"/>
          </w:tcPr>
          <w:p w:rsidR="00DB4822" w:rsidRPr="00DB4822" w:rsidRDefault="00DB4822" w:rsidP="00BA6BAF">
            <w:pPr>
              <w:pStyle w:val="Konzulenseknev"/>
            </w:pPr>
            <w:r w:rsidRPr="00DB4822">
              <w:t>Lajos Hegedüs</w:t>
            </w:r>
          </w:p>
          <w:p w:rsidR="00DB4822" w:rsidRDefault="00DB4822" w:rsidP="00BA6BAF">
            <w:pPr>
              <w:pStyle w:val="Konzulensektitulus"/>
            </w:pPr>
            <w:r w:rsidRPr="00DB4822">
              <w:t>president,   National Federation of Disabled Persons' Associations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Social Profitability of the Employment of People of Disabilities/ A megváltozott munkaképességű személyek foglalkoztatásának társadalmi hasznossága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employment; social profitability; cost-benefit analysis; people with disabilities;</w:t>
      </w:r>
      <w:r>
        <w:t xml:space="preserve"/>
      </w:r>
    </w:p>
    <w:p>
      <w:pPr>
        <w:widowControl w:val="on"/>
        <w:pBdr/>
        <w:spacing w:before="240" w:after="240" w:line="240" w:lineRule="auto"/>
        <w:ind w:left="0" w:right="0"/>
        <w:jc w:val="left"/>
      </w:pPr>
      <w:r>
        <w:rPr>
          <w:color w:val="000000"/>
          <w:sz w:val="24"/>
          <w:szCs w:val="24"/>
        </w:rPr>
        <w:t xml:space="preserve">The severe unemployment hitting the European Economic Community combined with the benefits of the highly-developed social security systems have led to disparities among member countries. It is one of the major future challenges, how these advanced member states will be able to tackle the problems of ageing society and those of the pension system. The changes introduced by the Hungarian government are in compliance with the 2010-2020 plans of the EU; both of them aim at reducing the number of citizens claiming benefits and redirecting them to the labour market.</w:t>
      </w:r>
    </w:p>
    <w:p>
      <w:pPr>
        <w:widowControl w:val="on"/>
        <w:pBdr/>
        <w:spacing w:before="240" w:after="240" w:line="240" w:lineRule="auto"/>
        <w:ind w:left="0" w:right="0"/>
        <w:jc w:val="left"/>
      </w:pPr>
      <w:r>
        <w:rPr>
          <w:color w:val="000000"/>
          <w:sz w:val="24"/>
          <w:szCs w:val="24"/>
        </w:rPr>
        <w:t xml:space="preserve">My goal is to describe the theory of social-economic cost-benefit analysis and present the complex system of social benefit analysis through the example of a concrete association. I will contrast the financial and the social-economic benefit analyses of the association.</w:t>
      </w:r>
    </w:p>
    <w:p>
      <w:pPr>
        <w:widowControl w:val="on"/>
        <w:pBdr/>
        <w:spacing w:before="240" w:after="240" w:line="240" w:lineRule="auto"/>
        <w:ind w:left="0" w:right="0"/>
        <w:jc w:val="left"/>
      </w:pPr>
      <w:r>
        <w:rPr>
          <w:color w:val="000000"/>
          <w:sz w:val="24"/>
          <w:szCs w:val="24"/>
        </w:rPr>
        <w:t xml:space="preserve">In my paper I was searching for the answer to the question whether it is necessary and socially useful to support the association employing people with disabilities.</w:t>
      </w:r>
    </w:p>
    <w:p>
      <w:pPr>
        <w:widowControl w:val="on"/>
        <w:pBdr/>
        <w:spacing w:before="240" w:after="240" w:line="240" w:lineRule="auto"/>
        <w:ind w:left="0" w:right="0"/>
        <w:jc w:val="left"/>
      </w:pPr>
      <w:r>
        <w:rPr>
          <w:color w:val="000000"/>
          <w:sz w:val="24"/>
          <w:szCs w:val="24"/>
        </w:rPr>
        <w:t xml:space="preserve">I analysed the institutions and the activities of the Somogy County Association of the Physically Disabled. I examined their revenues, costs, entrepreneurial and public utility activities.</w:t>
      </w:r>
    </w:p>
    <w:p>
      <w:pPr>
        <w:widowControl w:val="on"/>
        <w:pBdr/>
        <w:spacing w:before="240" w:after="240" w:line="240" w:lineRule="auto"/>
        <w:ind w:left="0" w:right="0"/>
        <w:jc w:val="left"/>
      </w:pPr>
      <w:r>
        <w:rPr>
          <w:color w:val="000000"/>
          <w:sz w:val="24"/>
          <w:szCs w:val="24"/>
        </w:rPr>
        <w:t xml:space="preserve">It is the decision makers’ major responsibility to get to know the relationships and the effect mechanism of the social issues and decisions beyond the financial indicators.</w:t>
      </w:r>
      <w:r>
        <w:rPr>
          <w:color w:val="000000"/>
          <w:sz w:val="24"/>
          <w:szCs w:val="24"/>
        </w:rPr>
        <w:br/>
        <w:t xml:space="preserve">As the social cost-benefit analysis is typically overshadowed by financial cost-benefit analyses, the European Commission Agency for Fundamental Rights intends to design a unified system for the methodology of social benefit analyses in the future.</w:t>
      </w:r>
    </w:p>
    <w:p>
      <w:pPr>
        <w:widowControl w:val="on"/>
        <w:pBdr/>
        <w:spacing w:before="240" w:after="240" w:line="240" w:lineRule="auto"/>
        <w:ind w:left="0" w:right="0"/>
        <w:jc w:val="left"/>
      </w:pPr>
      <w:r>
        <w:rPr>
          <w:color w:val="000000"/>
          <w:sz w:val="24"/>
          <w:szCs w:val="24"/>
        </w:rPr>
        <w:t xml:space="preserve">In sum, in my paper I present that it is useful to support the association; i.e. the social benefits exceed the social costs. Active benefits and employment rehabilitation are more useful than passive benefits, because they promote social integration and permanent return to the world of work.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844694">
    <w:multiLevelType w:val="hybridMultilevel"/>
    <w:lvl w:ilvl="0" w:tplc="426777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844694">
    <w:abstractNumId w:val="958446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40821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