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VIOLA SZITA</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Köműves </w:t>
            </w:r>
          </w:p>
          <w:p w:rsidR="00DB4822" w:rsidRDefault="00DB4822" w:rsidP="00E11062">
            <w:pPr>
              <w:pStyle w:val="Konzulensek"/>
            </w:pPr>
            <w:r w:rsidRPr="00DB4822">
              <w:t>assistant professor,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Effects of the Growth Loan Program for small and medium-sized enterprises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Growth Loan Program; small and medium-sized enterprises; interview</w:t>
      </w:r>
      <w:r>
        <w:t xml:space="preserve"/>
      </w:r>
    </w:p>
    <w:p>
      <w:pPr>
        <w:widowControl w:val="on"/>
        <w:pBdr/>
        <w:spacing w:before="240" w:after="240" w:line="240" w:lineRule="auto"/>
        <w:ind w:left="0" w:right="0"/>
        <w:jc w:val="left"/>
      </w:pPr>
      <w:r>
        <w:rPr>
          <w:color w:val="000000"/>
          <w:sz w:val="24"/>
          <w:szCs w:val="24"/>
        </w:rPr>
        <w:t xml:space="preserve">I chose the ‘Effects of the Growth Loan Program for small and medium-sized enterprises’ as the topic of my thesis. These businesses employ two-thirds of the Hungarian workers, who produce half of the national GDP. It is a fact that the competitiveness of a nation’s economy cannot be created without the operation of competitive businesses. It would take great effort for Hungarian enterprises to start developing . A possible solution for the issue is provided by the National Bank called the Growth Loan Program (GLP). This program has three main goals. To alleviate confusion observed in the process of lending to these businesses, to strengthen financial stability and to reduce the country's external vulnerability. With the help of this 2.5% capital expenditure or working capital loan the enterprises can realize their investment notions in a financing environment similar to developed western european countries, contributing to the growth of the GDP and economy of Hungary. I would like to point out the efficiency of the program by analysing the state of the SMEs and comparing them in time, involving the economic situation and its short term effects. To achieve the goals set out in my thesis I interviewed bank employees. The interview process can be divided into two parts, a general section that describes the conditions and characteristics of the Growth Loan Program and a professional part in which all responding Account Managers formulate their subjective opinions on GLP. During an informal conversation in the interviews, I had the opportunity to get to know more about what Account Managers think about GLP and the related processes, its advantages and disadvantages. Using these information I supported my hypothesis and came to the final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84765">
    <w:multiLevelType w:val="hybridMultilevel"/>
    <w:lvl w:ilvl="0" w:tplc="44355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84765">
    <w:abstractNumId w:val="78384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3577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