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MÁRTON ISTVÁN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Nyiri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median raphe sejtjeinek glutamaterg természete, a szerotonerg rendszer új nézőpontból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előagyi neuronhálózatok modulációjában fontosak a szubkortikális monoaminerg</w:t>
      </w:r>
      <w:r>
        <w:rPr>
          <w:color w:val="000000"/>
          <w:sz w:val="24"/>
          <w:szCs w:val="24"/>
        </w:rPr>
        <w:br/>
        <w:t xml:space="preserve">pályarendszerek, így a középagyi median raphe régióból (MRR) felszálló szerotonerg</w:t>
      </w:r>
      <w:r>
        <w:rPr>
          <w:color w:val="000000"/>
          <w:sz w:val="24"/>
          <w:szCs w:val="24"/>
        </w:rPr>
        <w:br/>
        <w:t xml:space="preserve">rendszer is. Nemrégiben kiderült, hogy a MRR, a tónusos szerotonerg szabályozáson túl, az</w:t>
      </w:r>
      <w:r>
        <w:rPr>
          <w:color w:val="000000"/>
          <w:sz w:val="24"/>
          <w:szCs w:val="24"/>
        </w:rPr>
        <w:br/>
        <w:t xml:space="preserve">általa beidegzett hippokampális interneuronokra képes olyan 3-mas típusú vezikuláris</w:t>
      </w:r>
      <w:r>
        <w:rPr>
          <w:color w:val="000000"/>
          <w:sz w:val="24"/>
          <w:szCs w:val="24"/>
        </w:rPr>
        <w:br/>
        <w:t xml:space="preserve">glutamát transzportert (vGluT3) tartalmazó terminálisokkal szinaptizálni, melyek gyors</w:t>
      </w:r>
      <w:r>
        <w:rPr>
          <w:color w:val="000000"/>
          <w:sz w:val="24"/>
          <w:szCs w:val="24"/>
        </w:rPr>
        <w:br/>
        <w:t xml:space="preserve">glutamaterg jelátvitellel serkenthetik ezeket a GABAerg sejteket. Munkánkban azt vizsgáltuk,</w:t>
      </w:r>
      <w:r>
        <w:rPr>
          <w:color w:val="000000"/>
          <w:sz w:val="24"/>
          <w:szCs w:val="24"/>
        </w:rPr>
        <w:br/>
        <w:t xml:space="preserve">hogy ez a glutamaterg jelátvitel valójában mennyire jellemző az egér MRR-jának idegsejtjeire</w:t>
      </w:r>
      <w:r>
        <w:rPr>
          <w:color w:val="000000"/>
          <w:sz w:val="24"/>
          <w:szCs w:val="24"/>
        </w:rPr>
        <w:br/>
        <w:t xml:space="preserve">és előagyi kapcsolataira – a szerotonerg kapcsolatok mellett.</w:t>
      </w:r>
      <w:r>
        <w:rPr>
          <w:color w:val="000000"/>
          <w:sz w:val="24"/>
          <w:szCs w:val="24"/>
        </w:rPr>
        <w:br/>
        <w:t xml:space="preserve">Először, fluoreszcens immunhisztokémiai kísérletekben megjelöltük a MRR-ban</w:t>
      </w:r>
      <w:r>
        <w:rPr>
          <w:color w:val="000000"/>
          <w:sz w:val="24"/>
          <w:szCs w:val="24"/>
        </w:rPr>
        <w:br/>
        <w:t xml:space="preserve">található szerotonin és/vagy vGluT3 tartalmú sejtpopulációt, majd azok konfokális</w:t>
      </w:r>
      <w:r>
        <w:rPr>
          <w:color w:val="000000"/>
          <w:sz w:val="24"/>
          <w:szCs w:val="24"/>
        </w:rPr>
        <w:br/>
        <w:t xml:space="preserve">mikroszkópos megfigyelésével és sztereológiai módszerekkel azt találtuk, hogy e</w:t>
      </w:r>
      <w:r>
        <w:rPr>
          <w:color w:val="000000"/>
          <w:sz w:val="24"/>
          <w:szCs w:val="24"/>
        </w:rPr>
        <w:br/>
        <w:t xml:space="preserve">neuronoknak legalább mintegy kétharmada valójában vGluT3-pozitív glutamaterg sejt. Ez</w:t>
      </w:r>
      <w:r>
        <w:rPr>
          <w:color w:val="000000"/>
          <w:sz w:val="24"/>
          <w:szCs w:val="24"/>
        </w:rPr>
        <w:br/>
        <w:t xml:space="preserve">után retrográd pályajelölés segítségével megmutattuk, hogy a MRR hippokampuszba,</w:t>
      </w:r>
      <w:r>
        <w:rPr>
          <w:color w:val="000000"/>
          <w:sz w:val="24"/>
          <w:szCs w:val="24"/>
        </w:rPr>
        <w:br/>
        <w:t xml:space="preserve">mediális septumba vagy mediális prefrontális kéregbe vetítő sejtjeinek legalább mintegy 80,</w:t>
      </w:r>
      <w:r>
        <w:rPr>
          <w:color w:val="000000"/>
          <w:sz w:val="24"/>
          <w:szCs w:val="24"/>
        </w:rPr>
        <w:br/>
        <w:t xml:space="preserve">60 és 70%-a glutamaterg. Végül kettős retrográd pályajelölés segítségével megállapítottuk,</w:t>
      </w:r>
      <w:r>
        <w:rPr>
          <w:color w:val="000000"/>
          <w:sz w:val="24"/>
          <w:szCs w:val="24"/>
        </w:rPr>
        <w:br/>
        <w:t xml:space="preserve">hogy a MRR-ban található számos olyan neuron, melyek egyidejűleg vetítenek a</w:t>
      </w:r>
      <w:r>
        <w:rPr>
          <w:color w:val="000000"/>
          <w:sz w:val="24"/>
          <w:szCs w:val="24"/>
        </w:rPr>
        <w:br/>
        <w:t xml:space="preserve">hippokampuszba és a mediális prefrontális kéregbe, ezeknek is mintegy 90%-a glutamaterg</w:t>
      </w:r>
      <w:r>
        <w:rPr>
          <w:color w:val="000000"/>
          <w:sz w:val="24"/>
          <w:szCs w:val="24"/>
        </w:rPr>
        <w:br/>
        <w:t xml:space="preserve">sejt. Hasonlóan, a mediális septumba és a mediális prefrontális kéregbe egyidejűleg vetítő</w:t>
      </w:r>
      <w:r>
        <w:rPr>
          <w:color w:val="000000"/>
          <w:sz w:val="24"/>
          <w:szCs w:val="24"/>
        </w:rPr>
        <w:br/>
        <w:t xml:space="preserve">neuronok 80%-a szintén glutamaterg.</w:t>
      </w:r>
      <w:r>
        <w:rPr>
          <w:color w:val="000000"/>
          <w:sz w:val="24"/>
          <w:szCs w:val="24"/>
        </w:rPr>
        <w:br/>
        <w:t xml:space="preserve">Eredményeink rámutatnak arra, hogy bár a MRR sejtjeire valóban jellemző a</w:t>
      </w:r>
      <w:r>
        <w:rPr>
          <w:color w:val="000000"/>
          <w:sz w:val="24"/>
          <w:szCs w:val="24"/>
        </w:rPr>
        <w:br/>
        <w:t xml:space="preserve">szerotonin tartalom, mégis – azok nagy részének kettős pozitivitása mellett – a legtöbbjük</w:t>
      </w:r>
      <w:r>
        <w:rPr>
          <w:color w:val="000000"/>
          <w:sz w:val="24"/>
          <w:szCs w:val="24"/>
        </w:rPr>
        <w:br/>
        <w:t xml:space="preserve">glutamaterg vetítősejt. Ezen neuronok egy része ráadásul egyidejűleg több előagyi területre is</w:t>
      </w:r>
      <w:r>
        <w:rPr>
          <w:color w:val="000000"/>
          <w:sz w:val="24"/>
          <w:szCs w:val="24"/>
        </w:rPr>
        <w:br/>
        <w:t xml:space="preserve">képes vetíteni, így a mag szerepet játszhat e területek gyors és hatékony szinkronizálásában.</w:t>
      </w:r>
      <w:r>
        <w:rPr>
          <w:color w:val="000000"/>
          <w:sz w:val="24"/>
          <w:szCs w:val="24"/>
        </w:rPr>
        <w:br/>
        <w:t xml:space="preserve">Eredményeink az eddig lassú, tónusos szabályzónak gondolt MRR-ról új képet festenek, mely</w:t>
      </w:r>
      <w:r>
        <w:rPr>
          <w:color w:val="000000"/>
          <w:sz w:val="24"/>
          <w:szCs w:val="24"/>
        </w:rPr>
        <w:br/>
        <w:t xml:space="preserve">sokat segíthet a MRR valódi funkciójának megértésében.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12481">
    <w:multiLevelType w:val="hybridMultilevel"/>
    <w:lvl w:ilvl="0" w:tplc="28752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12481">
    <w:abstractNumId w:val="44912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196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