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MÁRTON ISTVÁN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Veterinary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Gábor Nyiri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 Institute of Experimental Medicine, Hungarian Academy of Sciences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glutamatergic nature of neurons of the median raphe, a new aspect of the serotonergic system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Subcortical monoaminergic pathways, like that originating from the serotonergic</w:t>
      </w:r>
      <w:r>
        <w:rPr>
          <w:color w:val="000000"/>
          <w:sz w:val="24"/>
          <w:szCs w:val="24"/>
        </w:rPr>
        <w:br/>
        <w:t xml:space="preserve">median raphe region (MRR), are fundamental for the modulation of forebrain neuronal</w:t>
      </w:r>
      <w:r>
        <w:rPr>
          <w:color w:val="000000"/>
          <w:sz w:val="24"/>
          <w:szCs w:val="24"/>
        </w:rPr>
        <w:br/>
        <w:t xml:space="preserve">networks. However, our workgroup showed recently that, beyond this serotonergic</w:t>
      </w:r>
      <w:r>
        <w:rPr>
          <w:color w:val="000000"/>
          <w:sz w:val="24"/>
          <w:szCs w:val="24"/>
        </w:rPr>
        <w:br/>
        <w:t xml:space="preserve">modulation, the vesicular glutamate transporter type 3 (vGluT3)-containing cells of the MRR</w:t>
      </w:r>
      <w:r>
        <w:rPr>
          <w:color w:val="000000"/>
          <w:sz w:val="24"/>
          <w:szCs w:val="24"/>
        </w:rPr>
        <w:br/>
        <w:t xml:space="preserve">can establish fast glutamatergic excitatory synapses on hippocampal GABAergic</w:t>
      </w:r>
      <w:r>
        <w:rPr>
          <w:color w:val="000000"/>
          <w:sz w:val="24"/>
          <w:szCs w:val="24"/>
        </w:rPr>
        <w:br/>
        <w:t xml:space="preserve">interneurons. We examined, whether this type of glutamatergic neurotransmission is typical in</w:t>
      </w:r>
      <w:r>
        <w:rPr>
          <w:color w:val="000000"/>
          <w:sz w:val="24"/>
          <w:szCs w:val="24"/>
        </w:rPr>
        <w:br/>
        <w:t xml:space="preserve">the forebrain connections of the MRR in the mouse brain.</w:t>
      </w:r>
      <w:r>
        <w:rPr>
          <w:color w:val="000000"/>
          <w:sz w:val="24"/>
          <w:szCs w:val="24"/>
        </w:rPr>
        <w:br/>
        <w:t xml:space="preserve">First, using design-based stereological methods and fluorescent immunohistochemistry</w:t>
      </w:r>
      <w:r>
        <w:rPr>
          <w:color w:val="000000"/>
          <w:sz w:val="24"/>
          <w:szCs w:val="24"/>
        </w:rPr>
        <w:br/>
        <w:t xml:space="preserve">together with confocal microscopy, we labelled the serotonergic and/or vGluT3 positive cells</w:t>
      </w:r>
      <w:r>
        <w:rPr>
          <w:color w:val="000000"/>
          <w:sz w:val="24"/>
          <w:szCs w:val="24"/>
        </w:rPr>
        <w:br/>
        <w:t xml:space="preserve">of the MRR and we found that about two-thirds of the neurons are vGluT3 positive</w:t>
      </w:r>
      <w:r>
        <w:rPr>
          <w:color w:val="000000"/>
          <w:sz w:val="24"/>
          <w:szCs w:val="24"/>
        </w:rPr>
        <w:br/>
        <w:t xml:space="preserve">glutamatergic cells. Then, using retrograde tracing, we showed that about 80, 60 and 70% of</w:t>
      </w:r>
      <w:r>
        <w:rPr>
          <w:color w:val="000000"/>
          <w:sz w:val="24"/>
          <w:szCs w:val="24"/>
        </w:rPr>
        <w:br/>
        <w:t xml:space="preserve">the MRR cells projecting to the hippocampus, medial septum and medial prefrontal cortex are</w:t>
      </w:r>
      <w:r>
        <w:rPr>
          <w:color w:val="000000"/>
          <w:sz w:val="24"/>
          <w:szCs w:val="24"/>
        </w:rPr>
        <w:br/>
        <w:t xml:space="preserve">glutamatergic, respectively. Finally, using double retrograde tracing, we showed that there are</w:t>
      </w:r>
      <w:r>
        <w:rPr>
          <w:color w:val="000000"/>
          <w:sz w:val="24"/>
          <w:szCs w:val="24"/>
        </w:rPr>
        <w:br/>
        <w:t xml:space="preserve">several neurons in the MRR that innervate both the hippocampus and the medial prefrontal</w:t>
      </w:r>
      <w:r>
        <w:rPr>
          <w:color w:val="000000"/>
          <w:sz w:val="24"/>
          <w:szCs w:val="24"/>
        </w:rPr>
        <w:br/>
        <w:t xml:space="preserve">cortex simultaneously and about 90% of them are glutamatergic. In addition, about 80% of the</w:t>
      </w:r>
      <w:r>
        <w:rPr>
          <w:color w:val="000000"/>
          <w:sz w:val="24"/>
          <w:szCs w:val="24"/>
        </w:rPr>
        <w:br/>
        <w:t xml:space="preserve">cells projecting both to the medial septum and the medial prefrontal cortex are also</w:t>
      </w:r>
      <w:r>
        <w:rPr>
          <w:color w:val="000000"/>
          <w:sz w:val="24"/>
          <w:szCs w:val="24"/>
        </w:rPr>
        <w:br/>
        <w:t xml:space="preserve">glutamatergic.</w:t>
      </w:r>
      <w:r>
        <w:rPr>
          <w:color w:val="000000"/>
          <w:sz w:val="24"/>
          <w:szCs w:val="24"/>
        </w:rPr>
        <w:br/>
        <w:t xml:space="preserve">Our results show that although the serotonin content of MRR cells is indeed typical,</w:t>
      </w:r>
      <w:r>
        <w:rPr>
          <w:color w:val="000000"/>
          <w:sz w:val="24"/>
          <w:szCs w:val="24"/>
        </w:rPr>
        <w:br/>
        <w:t xml:space="preserve">nevertheless, besides many of the cells being doubled positive, the vast majority of these</w:t>
      </w:r>
      <w:r>
        <w:rPr>
          <w:color w:val="000000"/>
          <w:sz w:val="24"/>
          <w:szCs w:val="24"/>
        </w:rPr>
        <w:br/>
        <w:t xml:space="preserve">neurons are glutamatergic projecting cells. Furthermore, because these cells can innervate</w:t>
      </w:r>
      <w:r>
        <w:rPr>
          <w:color w:val="000000"/>
          <w:sz w:val="24"/>
          <w:szCs w:val="24"/>
        </w:rPr>
        <w:br/>
        <w:t xml:space="preserve">more brain areas simultaneously, the MRR can precisely synchronize these brain areas. While</w:t>
      </w:r>
      <w:r>
        <w:rPr>
          <w:color w:val="000000"/>
          <w:sz w:val="24"/>
          <w:szCs w:val="24"/>
        </w:rPr>
        <w:br/>
        <w:t xml:space="preserve">the MRR was previously thought to be a tonic modulatory serotonergic nucleus, these</w:t>
      </w:r>
      <w:r>
        <w:rPr>
          <w:color w:val="000000"/>
          <w:sz w:val="24"/>
          <w:szCs w:val="24"/>
        </w:rPr>
        <w:br/>
        <w:t xml:space="preserve">observations put this nucleus into a new perspective and can help us to understand its real</w:t>
      </w:r>
      <w:r>
        <w:rPr>
          <w:color w:val="000000"/>
          <w:sz w:val="24"/>
          <w:szCs w:val="24"/>
        </w:rPr>
        <w:br/>
        <w:t xml:space="preserve">functions.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00597">
    <w:multiLevelType w:val="hybridMultilevel"/>
    <w:lvl w:ilvl="0" w:tplc="38914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00597">
    <w:abstractNumId w:val="61400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812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