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NAGY</w:t>
            </w:r>
          </w:p>
          <w:p w:rsidR="00C275A3" w:rsidRDefault="00A96AEC" w:rsidP="00C275A3">
            <w:pPr>
              <w:pStyle w:val="Hallgatokepzes"/>
            </w:pPr>
            <w:r>
              <w:t>Biology</w:t>
            </w:r>
            <w:r>
              <w:br/>
            </w:r>
            <w:r w:rsidR="00E77B23">
              <w:t>MSc,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Szakács MD.</w:t>
            </w:r>
          </w:p>
          <w:p w:rsidR="00DB4822" w:rsidRDefault="00DB4822" w:rsidP="00E11062">
            <w:pPr>
              <w:pStyle w:val="Konzulensek"/>
            </w:pPr>
            <w:r w:rsidRPr="00DB4822">
              <w:t>team leader,  MTA Research Centre for Natural Sciences, Institute of Enzimology, Membrane Biology Research Group</w:t>
            </w:r>
          </w:p>
        </w:tc>
      </w:tr>
      <w:tr w:rsidR="00DB4822" w:rsidTr="00DB4822">
        <w:tc>
          <w:tcPr>
            <w:tcW w:w="9854" w:type="dxa"/>
          </w:tcPr>
          <w:p w:rsidR="00DB4822" w:rsidRPr="00DB4822" w:rsidRDefault="00DB4822" w:rsidP="004D7940">
            <w:pPr>
              <w:pStyle w:val="Konzulensek"/>
            </w:pPr>
            <w:r w:rsidRPr="00DB4822">
              <w:t>Krisztián Szabó</w:t>
            </w:r>
          </w:p>
          <w:p w:rsidR="00DB4822" w:rsidRDefault="00DB4822" w:rsidP="00E11062">
            <w:pPr>
              <w:pStyle w:val="Konzulensek"/>
            </w:pPr>
            <w:r w:rsidRPr="00DB4822">
              <w:t>biologist,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Eliminating and „reprogramming” of drug resistant cells by MDR-selective compounds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efficacy of drugs used to treat malignancies is often hampered by the emergence of the so-called multidrug resistance (MDR). Cancer cells with MDR phenotype overexpress a transmembrane protein, P-glycoprotein (Pgp, ABCB1, MDR1), which belongs to the ATP Binding cassette (ABC) transporter superfamily. This efflux pump can recognize and transport numerous, structurally unrelated compounds from the cytoplasm to the extracellular space. Conventional anti-cancer agents including doxorubicin, vinblastine, vincristine, paclitaxel and new, promising drugs such as tyrosine kinase inhibitors (TKI) were also shown to be substrates of Pgp. Since attempts to directly inhibit Pgp have failed in the clinical phase, a new strategy had to be established. One possibility is the selective targeting of MDR cells. Our group identified and characterized several MDR-selective molecules that show paradox toxicity against Pgp overexpressing multidrug resistant cancer cells. Surprisingly, when we use an MDR-selective compound below its toxic concentration, the resistant cells can be “reprogrammed” to become sensitive again as a result of decreased Pgp expression. These “reprogrammed” cells are regaining their sensitivity to chemotherapy and their Pgp expression is equal to endogenous levels. My aim was to understand this process using the Pgp-negative MES-SA and Pgp-positive MES-SA/Dx5 (established by continuous drug selection in doxorubicin) uterine sarcoma cell line pair. We proved that the phenotype switch (from resistant to sensitive) caused by the MDR-selective molecules can be very rapid as it can happen within a few days following a single treatment. In my thesis I explain the effects of different reprogramming strategies (short-term high-dose, long-term low-dose or continuous low-dose) and epigenetic inhibitors on the phenotype switch. Our results suggest that drug-naïve (never treated) cancer cells can become resistant within days. Interestingly, this rapidly acquired drug resistance seems to be reversible suggesting the involvement of epigenetic regulation in the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99141">
    <w:multiLevelType w:val="hybridMultilevel"/>
    <w:lvl w:ilvl="0" w:tplc="62347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99141">
    <w:abstractNumId w:val="267991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9903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