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KRISTÓF VARGA</w:t>
            </w:r>
          </w:p>
          <w:p w:rsidR="00C275A3" w:rsidRDefault="00A96AEC" w:rsidP="00C275A3">
            <w:pPr>
              <w:pStyle w:val="Hallgatokepzes"/>
            </w:pPr>
            <w:r>
              <w:t>Biologist 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Veterinary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József Haller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 Hungarian Academy of Sciences - Institute of Experimental Medicine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Manó Aliczki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 Hungarian Academy of Sciences - Institute of Experimental Medicine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Dávid Fülöp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involvement of cannabinoids in the regulation of responding to social challanges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Previous studies showed that endocannabinoid signaling plays a role in the regulation of social behavior, predominantly aggression, although the details of this role are still to be clarified. Current pharmacological manipulations employed to study this issue result in a number of non-specific effects which possibly prevents the detailed description of the background mechanisms.</w:t>
      </w:r>
      <w:r>
        <w:rPr>
          <w:color w:val="000000"/>
          <w:sz w:val="24"/>
          <w:szCs w:val="24"/>
        </w:rPr>
        <w:br/>
        <w:t xml:space="preserve">In the present study, we employ a more specific approach to manipulate endocannabinoid signaling. Using the agent JZL184, we blocked monoacylglycerol lipase in male CD1 mice, the degrading enzyme of the endocannabinoid 2-arachidonoylglycerol (2-AG), which resulted in elevated levels and therefore enhanced signaling of 2-AG. We studied the effects of the above treatment on aggression in the resident-intruder paradigm. As previous studies showed that behavioral effects of enhanced 2-AG signaling depended on the experimental context, both residents and intruders were studied. Furthermore, measuring corticosterone levels we studied treatment effects on stress-reactivity and simultaneously enhancing 2-AG signaling and blocking corticosterone synthesis we assesed correlations between such effects and effects on behavior. We also investigated whether the effects depended on cannabinoid receptor type-1 (CB1) activity, as behavioral and physiological effects of 2-AG are reported to be mediated via this receptor.</w:t>
      </w:r>
      <w:r>
        <w:rPr>
          <w:color w:val="000000"/>
          <w:sz w:val="24"/>
          <w:szCs w:val="24"/>
        </w:rPr>
        <w:br/>
        <w:t xml:space="preserve">JZL184 dramatically decreased the level of aggressiveness in a context independent manner both in resident and intruder animals. Furthermore it increased stress-reactivity in the case of the latter. Antiaggressive effects were independent of endocrine effects and CB1 activity, respectively.</w:t>
      </w:r>
      <w:r>
        <w:rPr>
          <w:color w:val="000000"/>
          <w:sz w:val="24"/>
          <w:szCs w:val="24"/>
        </w:rPr>
        <w:br/>
        <w:t xml:space="preserve">Taken together, 2-AG was proven to be a strong negative modulator of aggressive behavior. As the environmental context slightly affected the effects on behavior in contrast to the effects observed on non-social behavior, one may suggest that its impact on social behavior is more specific and robust. Furthermore we report that the behavioral effects occur independently of effects on stress-reactivity, via a yet unidentified CB1 receptor-independent mechanism.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66570">
    <w:multiLevelType w:val="hybridMultilevel"/>
    <w:lvl w:ilvl="0" w:tplc="90032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66570">
    <w:abstractNumId w:val="80966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862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