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BÁRDOS</w:t>
            </w:r>
          </w:p>
          <w:p w:rsidR="00C275A3" w:rsidRDefault="00A96AEC" w:rsidP="00C275A3">
            <w:pPr>
              <w:pStyle w:val="Hallgatokepzes"/>
            </w:pPr>
            <w:r>
              <w:t>veterinary</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Ózsvári</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and Effectiveness Analysis of Using Alternative and Conventional Intramammary Infusion for Clinical Mastitis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economic significance of alternative intramammary infusions arises from the fact that there is no milk withdrawal period for lactation therapy, hence significant sales of milk can be saved. The experiment was designed to study the efficacy of the usage of intramammary infusion with antibiotic (AB), alternative Vetramil® infusion with essential oil content and alternative Vetramil® intramammary infusion without essential oils for clinical mastitis. The economic comparison of conventional and alternative intramammary infusions were carried out on the basis of the farms production indicators, cost and revenue items, thus their impact on the profitability. The experiment was conducted in a large-scale dairy farm with average of 693 milking cows in Central Hungary between July and September of 2014. Three groups of cows (AB, Vetramil® with and without essential oils) were set up, a total of 114 cows were tested. Milk samples were collected before and after the clinical mastitis treatment and bacterial and resistance tests was carried out and for every second sample somatic cell count (SCC) was measured. We examined the milk yields data before the treatment, during the treatment and after the treatment (daily milk, SCC, etc..) in the purpose of monitoring the long-term production impact of the examined drugs.</w:t>
      </w:r>
      <w:r>
        <w:rPr>
          <w:color w:val="000000"/>
          <w:sz w:val="24"/>
          <w:szCs w:val="24"/>
        </w:rPr>
        <w:br/>
        <w:t xml:space="preserve">The total recovery rate was the highest in the case of antibiotics: 37 cases out of 18 (48%), the ratio in the case of alternative intramammary infusions were significantly lower: 8% for Vetramil® with essential oil (3 out of 37 cases), and 10% of the essential oil-free formulation (4 out of 40). The clinical signs of clinical mastitis were mostly mitigated by AB, the condition of the udder and the milk’s macroscopic appearance was also completely normalized in this group in the largest proportion (43.2%, and 55.3%), compared to those in the group treated with Vetramil® with the essential oil (26.3% and 8.1%) and those in the group treated Vetramil® without essential oil (15% and 12.5%). Economic analysis of using Vetramil® intramammary suspension clearly shows that the use of all the Vetramil® with essential oils and Vetramil® without essential oils, despite much better clinical efficacy of the antibiotic treatment of mastitis during lactation, economically worth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64127">
    <w:multiLevelType w:val="hybridMultilevel"/>
    <w:lvl w:ilvl="0" w:tplc="26090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64127">
    <w:abstractNumId w:val="546641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211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