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TÓTH</w:t>
            </w:r>
          </w:p>
          <w:p w:rsidR="00C275A3" w:rsidRDefault="00A96AEC" w:rsidP="00C275A3">
            <w:pPr>
              <w:pStyle w:val="Hallgatokepzes"/>
            </w:pPr>
            <w:r>
              <w:t>Software Information Technology</w:t>
            </w:r>
            <w:r>
              <w:br/>
            </w:r>
            <w:r w:rsidR="00E77B23">
              <w:t>MSc, 1.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Roland Kunkli</w:t>
            </w:r>
          </w:p>
          <w:p w:rsidR="00DB4822" w:rsidRDefault="00DB4822" w:rsidP="00E11062">
            <w:pPr>
              <w:pStyle w:val="Konzulensek"/>
            </w:pPr>
            <w:r w:rsidRPr="00DB4822">
              <w:t>assistant lecturer,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Automatisation of face models' MPEG-4 standardization using a cage based deformation technique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Several communication channels exist between humans and machines, which are controlled by keyboard, mouse or touchscreen. But nowadays we are able to control these machines by speech or gestures. This communication is much more personal if we also see a virtual person who talk to us, therefore talking heads are very common in human-computer interaction systems. These so called avatars can play an important role in the future, because they can help by shopping in a webstore or they can guide us at an airport.</w:t>
      </w:r>
      <w:r>
        <w:rPr>
          <w:color w:val="000000"/>
          <w:sz w:val="24"/>
          <w:szCs w:val="24"/>
        </w:rPr>
        <w:br/>
        <w:t xml:space="preserve">In the past years more and more methods appeared which allows us to create talking head models. Most of them cannot support the MPEG-4 standard or demand a lot of manual interaction for the standardization. Therefore the main goal of our research is to create a method, with which we are able to standardize the talking head automatically based on MPEG-4 standard. For achieving this, we use a reference model deformed by a well-defined process to approximate the originally reconstructed 3D model.</w:t>
      </w:r>
      <w:r>
        <w:rPr>
          <w:color w:val="000000"/>
          <w:sz w:val="24"/>
          <w:szCs w:val="24"/>
        </w:rPr>
        <w:br/>
        <w:t xml:space="preserve">In the paper, we discuss this deformation process, which is accomplished by using harmonic coordinates. We need a control-mesh located around both models (the original one, which is not following the standard and the reference one). The automatisation is based on a well-chosen transformation between these meshes.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82807">
    <w:multiLevelType w:val="hybridMultilevel"/>
    <w:lvl w:ilvl="0" w:tplc="88485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82807">
    <w:abstractNumId w:val="87582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718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