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VARGA</w:t>
            </w:r>
          </w:p>
          <w:p w:rsidR="00C275A3" w:rsidRDefault="00A96AEC" w:rsidP="00C275A3">
            <w:pPr>
              <w:pStyle w:val="Hallgatokepzes"/>
            </w:pPr>
            <w:r>
              <w:t>General Humanities</w:t>
            </w:r>
            <w:r>
              <w:br/>
            </w:r>
            <w:r w:rsidR="00E77B23">
              <w:t>BA, 6.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Enikő Sepsi</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Actor in the Vision of Craig, Mejerhold and Artaud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works of the theatrical avant-garde - Craig, Mejerhold and Artaud - could be seen from many angles as the theatre of the future. An analysis of the historical context of the fin-de-siècle makes it easy to see why they launched an attack on individualism and logocentrism, even though their radical theories could hardly be materialised. Blending movement, sound and rhythm, they agreed upon the transformation of drama’s text into vision corresponding to the actors of their time, while neglecting the reaction of their contemporaries.</w:t>
      </w:r>
      <w:r>
        <w:rPr>
          <w:color w:val="000000"/>
          <w:sz w:val="24"/>
          <w:szCs w:val="24"/>
        </w:rPr>
        <w:br/>
        <w:t xml:space="preserve">Craig taught the actor of summoning the invisible forces of movement through their body. The director had a marked role in his theatre, as the person who collected and channelled these energies. Mejerhold sought to create a medium between spectator and actor, in order to address emotions instead of rationality. Mejerhold’s view stood as a transition between that of Craig and Artaud; the latter aimed at reaching the viewer’s mind by concentrating on the actor’s impact. Even though they were motivated by different purposes, the utilisation and transformation of the body of the actor in the theatrical context formed a common bond between their lifeworks.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64603">
    <w:multiLevelType w:val="hybridMultilevel"/>
    <w:lvl w:ilvl="0" w:tplc="80694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64603">
    <w:abstractNumId w:val="24064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477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