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RÁCZ TAMÁS</w:t>
            </w:r>
          </w:p>
          <w:p w:rsidR="00C275A3" w:rsidRDefault="00A96AEC" w:rsidP="00C275A3">
            <w:pPr>
              <w:pStyle w:val="Hallgatokepzes"/>
            </w:pPr>
            <w:r>
              <w:t>Gépészmérnöki</w:t>
            </w:r>
            <w:r>
              <w:br/>
            </w:r>
            <w:r w:rsidR="00E77B23">
              <w:t>BSc, 12. félév</w:t>
            </w:r>
          </w:p>
          <w:p w:rsidR="00C265CE" w:rsidRPr="009E5FF1" w:rsidRDefault="00E77B23" w:rsidP="00C275A3">
            <w:pPr>
              <w:pStyle w:val="Hallgatokepzes"/>
              <w:rPr>
                <w:b/>
                <w:caps/>
              </w:rPr>
            </w:pPr>
            <w:r>
              <w:t>Debreceni Egyetem</w:t>
            </w:r>
            <w:r w:rsidR="00C275A3">
              <w:br/>
            </w:r>
            <w:r w:rsidR="00DB4822">
              <w:t>Műszaki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Kerekes Attila</w:t>
            </w:r>
          </w:p>
          <w:p w:rsidR="00DB4822" w:rsidRDefault="00DB4822" w:rsidP="00E11062">
            <w:pPr>
              <w:pStyle w:val="Konzulensek"/>
            </w:pPr>
            <w:r w:rsidRPr="00DB4822">
              <w:t>tanszéki mérnök,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Fűtési rendszerek összehasonlítása önkormányzati épületek energetikai fejlesztéséhez</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Magyarországon - kiépítettségét és elterjedtségét tekintve - primer fűtési energiaforrásként egyértelműen a földgázt jelölhetjük meg csakúgy a nagyvárosokban, mint az elmaradottabb kistérségi településeken. Ugyanakkor, mint Európa többi országában, hazánkban is egyre nagyobb teret nyernek a megújuló energiaforrások. Köszönhetően mind egyéni, mind nemzeti szinten hosszú távú költséghatékonyságuknak, környezetbarát működésüknek és jóval alacsonyabb függőségi jellegüknek. Ezt alátámasztandó egy kistérségi település önkormányzati épületét kívánom Tudományos Diákköri dolgozatom középpontjába állítani.</w:t>
      </w:r>
    </w:p>
    <w:p>
      <w:pPr>
        <w:widowControl w:val="on"/>
        <w:pBdr/>
        <w:spacing w:before="240" w:after="240" w:line="240" w:lineRule="auto"/>
        <w:ind w:left="0" w:right="0"/>
        <w:jc w:val="left"/>
      </w:pPr>
      <w:r>
        <w:rPr>
          <w:color w:val="000000"/>
          <w:sz w:val="24"/>
          <w:szCs w:val="24"/>
        </w:rPr>
        <w:br/>
        <w:t xml:space="preserve">Vizsgálni kívánom az épület jelenlegi fűtési rendszerét gazdaságossági (üzemeltetési és beruházási költségek) és teljesítmény szempontból és összehasonlítani azt megújuló energiaforrást (biomassza) alapul vevő rendszerekkel – a hatályos, érvényben lévő energetikai előírásokat és jogszabályokat figyelembe véve. Tekintve, hogy az energetikai vizsgálatok alapját adó jogszabályok a közelmúltban változtak, így egy 2015. január 1. előtti és utáni helyzetet is tanulmányozni kívánom.</w:t>
      </w:r>
    </w:p>
    <w:p>
      <w:pPr>
        <w:widowControl w:val="on"/>
        <w:pBdr/>
        <w:spacing w:before="240" w:after="240" w:line="240" w:lineRule="auto"/>
        <w:ind w:left="0" w:right="0"/>
        <w:jc w:val="left"/>
      </w:pPr>
      <w:r>
        <w:rPr>
          <w:color w:val="000000"/>
          <w:sz w:val="24"/>
          <w:szCs w:val="24"/>
        </w:rPr>
        <w:br/>
        <w:t xml:space="preserve">Az épület jelenlegi fűtési rendszerének kiválthatóságán túl vizsgálni kívánom a zöld energiahordozók gyártásának lépéseit, azok fűtőértékét, felhasználásukhoz használható kazán típusokat, és azok sajátosságait tekintve, hogy egy összetett és sokrétű rendszerről beszélünk. A vizsgálat fontosságát mutatja az is, hogy az önkormányzat a megújult rendszer révén fosszilis tüzelőanyagból kinyert energiát és ilyen módon költséget takaríthat meg és ezzel egy időben munkát és megélhetést tud biztosítani a térségben élők számára. Mindemellett a környéken keletkező biológiai eredetű hulladék mennyiségét jelentősen csökkentve képes környezetvédelmi szempontból is megfelelni a modern világ elvárásainak.</w:t>
      </w:r>
    </w:p>
    <w:p>
      <w:pPr>
        <w:widowControl w:val="on"/>
        <w:pBdr/>
        <w:spacing w:before="240" w:after="240" w:line="240" w:lineRule="auto"/>
        <w:ind w:left="0" w:right="0"/>
        <w:jc w:val="left"/>
      </w:pPr>
      <w:r>
        <w:rPr>
          <w:color w:val="000000"/>
          <w:sz w:val="24"/>
          <w:szCs w:val="24"/>
        </w:rPr>
        <w:br/>
        <w:t xml:space="preserve">Dolgozatom céljai között szerepel a szilárdtüzelésű- és kondenzációs kazánok, valamint a felhasznált energiatárolók - hasábfa, biobrikett, földgáz, villamos áram (segédenergia) - költséghatékonyságának bemutatása és összehasonlítása.</w:t>
      </w:r>
    </w:p>
    <w:p>
      <w:pPr>
        <w:widowControl w:val="on"/>
        <w:pBdr/>
        <w:spacing w:before="240" w:after="240" w:line="240" w:lineRule="auto"/>
        <w:ind w:left="0" w:right="0"/>
        <w:jc w:val="left"/>
      </w:pPr>
      <w:r>
        <w:rPr>
          <w:color w:val="000000"/>
          <w:sz w:val="24"/>
          <w:szCs w:val="24"/>
        </w:rPr>
        <w:br/>
        <w:t xml:space="preserve">További célom, hogy bármely hasonló adottságokkal rendelkező önkormányzati épület esetén a megbízó képes legyen felmérni lehetőségeit külső forrásból történő – Európai Uniós és központi költségvetésből származó - tőke bevonásához, melynek jogszabályi hátterét a 7/2006 ˙(V.24.) TNM rendelet 1-6§ adja.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217877">
    <w:multiLevelType w:val="hybridMultilevel"/>
    <w:lvl w:ilvl="0" w:tplc="867071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217877">
    <w:abstractNumId w:val="362178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68098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