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PETRANYI</w:t>
            </w:r>
          </w:p>
          <w:p w:rsidR="00C275A3" w:rsidRDefault="00A96AEC" w:rsidP="00C275A3">
            <w:pPr>
              <w:pStyle w:val="Hallgatokepzes"/>
            </w:pPr>
            <w:r>
              <w:t>environmental engineering</w:t>
            </w:r>
            <w:r>
              <w:br/>
            </w:r>
            <w:r w:rsidR="00E77B23">
              <w:t>BSc, 7. semester</w:t>
            </w:r>
          </w:p>
          <w:p w:rsidR="00C265CE" w:rsidRPr="009E5FF1" w:rsidRDefault="00E77B23" w:rsidP="009763E0">
            <w:pPr>
              <w:pStyle w:val="Hallgatointezmeny-kar"/>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LEVENTE UNGVARI</w:t>
            </w:r>
          </w:p>
          <w:p w:rsidR="00DB4822" w:rsidRDefault="00C275A3" w:rsidP="004D7940">
            <w:pPr>
              <w:pStyle w:val="Hallgatokepzes"/>
            </w:pPr>
            <w:r>
              <w:t>environmental engineering</w:t>
            </w:r>
            <w:r w:rsidR="00A96AEC">
              <w:br/>
              <w:t>BSc, 5.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Engineering</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Andrea Keczanne Uveges</w:t>
            </w:r>
          </w:p>
          <w:p w:rsidR="00DB4822" w:rsidRDefault="00DB4822" w:rsidP="009763E0">
            <w:pPr>
              <w:pStyle w:val="Konzulensektitulus"/>
            </w:pPr>
            <w:r w:rsidRPr="00DB4822">
              <w:t>associate professor, DE MK</w:t>
            </w:r>
          </w:p>
        </w:tc>
      </w:tr>
      <w:tr w:rsidR="00DB4822" w:rsidTr="00DB4822">
        <w:tc>
          <w:tcPr>
            <w:tcW w:w="9854" w:type="dxa"/>
          </w:tcPr>
          <w:p w:rsidR="00DB4822" w:rsidRPr="00DB4822" w:rsidRDefault="00DB4822" w:rsidP="009763E0">
            <w:pPr>
              <w:pStyle w:val="Konzulenseknev"/>
            </w:pPr>
            <w:r w:rsidRPr="00DB4822">
              <w:t>Norbert Boros</w:t>
            </w:r>
          </w:p>
          <w:p w:rsidR="00DB4822" w:rsidRDefault="00DB4822" w:rsidP="009763E0">
            <w:pPr>
              <w:pStyle w:val="Konzulensektitulus"/>
            </w:pPr>
            <w:r w:rsidRPr="00DB4822">
              <w:t>associate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Influence of storage and coagulation on zeta potential and microbiological characteristics of greywater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decades, the temporary or permanent water shortage is a growing global problem. The demand for fresh water is increasing, but the average annual amount of precipitation is decreasing due to climate changes in many areas. Therefore to meet the raising needs is more difficult.</w:t>
      </w:r>
      <w:r>
        <w:rPr>
          <w:color w:val="000000"/>
          <w:sz w:val="24"/>
          <w:szCs w:val="24"/>
        </w:rPr>
        <w:br/>
        <w:t xml:space="preserve">Recycling of greywater can be a good means to decrease the tap-water consumption in households by using it for toilet flushing or irrigation. However, not ignorable that greywaters contain high level of organic and inorganic chemicals, and various microorganisms that justify the treatment of greywater before reuse it. It is necessary to determine the quality parameters of greywater samples for selecting the sufficient treatment, mainly by determination the count of microorganisms and zeta potential value. Zeta potential gives information for colloidal contamination, which mainly cause the turbidity of the water as well.</w:t>
      </w:r>
      <w:r>
        <w:rPr>
          <w:color w:val="000000"/>
          <w:sz w:val="24"/>
          <w:szCs w:val="24"/>
        </w:rPr>
        <w:br/>
        <w:t xml:space="preserve">In our study we collected greywater from bath, washing and laundry of different households in the region of Northeastern Hungary. We measured some physical and chemical parameters (temperature, pH, zeta potential, conductivity, turbidity, BOD, DOC) and microbiological parameters (total plate count, coliform count).</w:t>
      </w:r>
      <w:r>
        <w:rPr>
          <w:color w:val="000000"/>
          <w:sz w:val="24"/>
          <w:szCs w:val="24"/>
        </w:rPr>
        <w:br/>
        <w:t xml:space="preserve">According to our investigation we found that bath samples were less loaded in all aspects than washing and laundry samples.</w:t>
      </w:r>
      <w:r>
        <w:rPr>
          <w:color w:val="000000"/>
          <w:sz w:val="24"/>
          <w:szCs w:val="24"/>
        </w:rPr>
        <w:br/>
        <w:t xml:space="preserve">During storage the count of microorganisms increased, which caused a decrease in the amount of dissolved organic matter in greywater samples. Turbidity hasn’t changed significantly.</w:t>
      </w:r>
      <w:r>
        <w:rPr>
          <w:color w:val="000000"/>
          <w:sz w:val="24"/>
          <w:szCs w:val="24"/>
        </w:rPr>
        <w:br/>
        <w:t xml:space="preserve">Organic matters, count of microorganisms and turbidity parameters are also decreased by treating with ferric-chloride and alum. In the remove of microorganisms the ferric-chloride treatment was more effective, turbidity decreased by nearly 100%.</w:t>
      </w:r>
      <w:r>
        <w:rPr>
          <w:color w:val="000000"/>
          <w:sz w:val="24"/>
          <w:szCs w:val="24"/>
        </w:rPr>
        <w:br/>
        <w:t xml:space="preserve">In the future, we want to use sand filtration and activated carbon filtration to remove suspended solids more effectively after chemically treatment.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71365">
    <w:multiLevelType w:val="hybridMultilevel"/>
    <w:lvl w:ilvl="0" w:tplc="70404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71365">
    <w:abstractNumId w:val="672713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41749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