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PALÁGYI</w:t>
            </w:r>
          </w:p>
          <w:p w:rsidR="00C275A3" w:rsidRDefault="00A96AEC" w:rsidP="00C275A3">
            <w:pPr>
              <w:pStyle w:val="Hallgatokepzes"/>
            </w:pPr>
            <w:r>
              <w:t>Hungarian teacher - Hungarian as foreign language teacher</w:t>
            </w:r>
            <w:r>
              <w:br/>
            </w:r>
            <w:r w:rsidR="00E77B23">
              <w:t>MA,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H. Varga</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Hungarian linguistic phenomena (the article and the number in the substantive) in the theoretical framework of Guillaume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study was to analyze the structure of the Hungarian articles and nouns' grammatical number of which Gustave Guillaume's work about the French article and the guillaumist Walter Hirtle's examinations concerned with number in the English substantive served as backgrounds. Guillaume's remarkable works are hardly known in Hungary thus I outlined the foundations of his linguistic theory bringing out correspondences concerning cognitive linguistics. An integrated approach and an interrelated explanation of the Hungarian articles together with plural/singular morphemes were the main target of this study. Moreover the account for the Hungarian partitive article based on a conceptual metaphor, the applicability of the mental space theory in connection with grammar, the presented pragmatic motivation of the so-termed specific indefinite notion are equally part of this paper's results which make one to do further analyses.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02354">
    <w:multiLevelType w:val="hybridMultilevel"/>
    <w:lvl w:ilvl="0" w:tplc="65477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02354">
    <w:abstractNumId w:val="99602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936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