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VÁJER ÁKOS</w:t>
            </w:r>
          </w:p>
          <w:p w:rsidR="00C275A3" w:rsidRDefault="00A96AEC" w:rsidP="00C275A3">
            <w:pPr>
              <w:pStyle w:val="Hallgatokepzes"/>
            </w:pPr>
            <w:r>
              <w:t>Történelem-magyar mestertanári</w:t>
            </w:r>
            <w:r>
              <w:br/>
            </w:r>
            <w:r w:rsidR="00E77B23">
              <w:t>MA,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Csoma Zsigmond</w:t>
            </w:r>
          </w:p>
          <w:p w:rsidR="00DB4822" w:rsidRDefault="00DB4822" w:rsidP="009763E0">
            <w:pPr>
              <w:pStyle w:val="Konzulensektitulus"/>
            </w:pPr>
            <w:r w:rsidRPr="00DB4822">
              <w:t>kutatóprofesszor,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absztinencia és a böjt szerepe a kora újkori mindennapokban: 17. századi szakácskönyvek absztinens és böjti receptjei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kora újkori mindennapokat, a kora újkori ember heti életritmusát alapjaiban határozta meg a böjt. A 17. század elejére mind Európában, mind hazánkban alapvető változások indultak meg a böjtölési szokásokban. Ennek oka egyrészt a reformáció terjedésében, másrészt az átalakuló étrendszerkezetben keresendő. A 17. századra a korábbi kettős étkezési rend kezdett fellazulni, kibővülni. Ezzel párhuzamosan pedig új ételcsoportként a főtt tészták kezdtek megjelenni a mindennapi étkezésben. A böjttel kapcsolatos egyházi előírások lazulása magával hozta a tejtermékek, valamint a tojás bekerülését a szigorú böjti napok étkezéseibe.</w:t>
      </w:r>
      <w:r>
        <w:rPr>
          <w:color w:val="000000"/>
          <w:sz w:val="24"/>
          <w:szCs w:val="24"/>
        </w:rPr>
        <w:br/>
        <w:t xml:space="preserve">A kérdés az volt, hogy mindezek a változások megjelennek-e a Magyarországon ekkor kibontakozó, magának teret hódító szakácskönyv-irodalomban. A kérdés megválaszolásához a csáktornyai Zrínyi-udvar nyomtatásban megjelent szakácskönyvét, valamint a Tótfalusi Kis Miklós által kiadott kolozsvári szakácskönyvet tekintettem át. A szakácskönyvek receptjei megegyeznek abban, hogy az alapvető ételcsoportok, mint a kásák, leves kenyerek, főtt és sült tészták, halas receptek megjelennek mindkettőben. A két szakácskönyv közötti alapvető különbséget a tejtermékek és a tojás felhasználásában találjuk meg. A legalább 30 évvel később kiadott kolozsvári szakácskönyv a 17. század előtti böjti előírásokat követi a receptek alapanyagait illetően. Tejtermékek és tojás csak az absztinens, enyhített böjti napokra szóló receptekben jelennek meg alapanyagként. Az eredmények kétarcúságát önmagában nehéz lenne magyarázni. Egyrészt regionális eltérésekben kell keresni az eltérések okát, valamint a kolozsvári szakácskönyv esetén Tótfalusi „üzletemberi” voltában. Dacára annak, hogy Tótfalusi protestáns volt, tudta, hogy ki kell szolgálnia a katolikus vásárlókat is ahhoz, hogy kiadhasson újabb és újabb köteteket. Másrészt abban, hogy a katolikus egyház részéről a böjtöléssel kapcsolatos előírásokat csak 1917-ben rögzítettek egyetemes érvénnyel.</w:t>
      </w:r>
      <w:r>
        <w:rPr>
          <w:color w:val="000000"/>
          <w:sz w:val="24"/>
          <w:szCs w:val="24"/>
        </w:rPr>
        <w:br/>
        <w:t xml:space="preserve">A téma feldolgozását illetően további lehetőséget biztosítanak a bevásárlási listák, harmincadjegyzékek, uradalmi étrendek és utasítások.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31439">
    <w:multiLevelType w:val="hybridMultilevel"/>
    <w:lvl w:ilvl="0" w:tplc="680352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31439">
    <w:abstractNumId w:val="55631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2829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