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BERNÁT VESZPRÉMY </w:t>
            </w:r>
          </w:p>
          <w:p w:rsidR="00C275A3" w:rsidRDefault="00A96AEC" w:rsidP="00C275A3">
            <w:pPr>
              <w:pStyle w:val="Hallgatokepzes"/>
            </w:pPr>
            <w:r>
              <w:t>history</w:t>
            </w:r>
            <w:r>
              <w:br/>
            </w:r>
            <w:r w:rsidR="00E77B23">
              <w:t>BA, 3.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Dávid Kovács</w:t>
            </w:r>
          </w:p>
          <w:p w:rsidR="00DB4822" w:rsidRDefault="00DB4822" w:rsidP="00E11062">
            <w:pPr>
              <w:pStyle w:val="Konzulensek"/>
            </w:pPr>
            <w:r w:rsidRPr="00DB4822">
              <w:t>senior lecturer,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Alternate Ways of Jewish Assimilationist and Zionist Self-perception in the Second Half of Austro-Hungarian Dualism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Drawing a historical picture of the gaping divide between the self-perception of Jewish-Hungarian Assimilationist (neológ) and Zionist thinkers, writers and rabbis had been a central aim of my work. In my essay I firmly state that, based on the fitting historical literature from the period in question, the Zionist assault on assimilation contained rhetorical elements largely akin to the anti-Semitic catchphrases of the era. These Zionist arguments later resurfaced as part of the underlying influences of anti-Jewish legislation. A comprehensive look at the reflections of the Jewish press on public debates concerning anti-Semitism clearly reveals a fissure between Jewish thinkers in support of, and against Liberalism. One may not avoid declaring in conclusion that the triumphs of Jewish-Hungarian assimilation had led to disastrous tensions within the Jewish community, and that it was precisely its opposition to assimilation that had drifted Zionism’s mottoes dangerously close to that of contemporary Jew-hatred.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04035">
    <w:multiLevelType w:val="hybridMultilevel"/>
    <w:lvl w:ilvl="0" w:tplc="66132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04035">
    <w:abstractNumId w:val="214040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22597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