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PAPP</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Mezey</w:t>
            </w:r>
          </w:p>
          <w:p w:rsidR="00DB4822" w:rsidRDefault="00DB4822" w:rsidP="00E11062">
            <w:pPr>
              <w:pStyle w:val="Konzulensek"/>
            </w:pPr>
            <w:r w:rsidRPr="00DB4822">
              <w:t>lecturer,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Institutionalisation of the public healthcare administration in the early 20th century, especially concerning the establishment and the functioning of the Public Health Institute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Even today, the specialised public healthcare administration is key to dealing with public health matters. Although, in developed countries the advancement of medical sciences and rising living standards have largely solved the greatest public health challenges of the 20th century, there are still a number of issues that cannot be averted currently. Epidemics (such as Bird Flu, Hepathithis, Ebola) and public health catastrophies (for example floods or the alumina sludge spill in 2010) require not only scientific understanding but a quick and organised administrative intervention as well.</w:t>
      </w:r>
      <w:r>
        <w:rPr>
          <w:color w:val="000000"/>
          <w:sz w:val="24"/>
          <w:szCs w:val="24"/>
        </w:rPr>
        <w:br/>
        <w:br/>
        <w:t xml:space="preserve">In this paper my main question concerned the chief administrative body responsible for public health and public healthcare management in the early 20th century Hungary. I also examined the extent that this government body was able to professionally and administratively cover these issues. My research therefore focused on the m. kir. Országos Közegészségügyi Intézet (Hungarian Royal Public Health Institute, the OKI for short), the main adminstrative body dealing with public health manners in this period. I strived to examine the reasons behind the creation of the Institute, the process and context of its creation as well as the legislation upon which it was based. My main focus was on the role of this Institute in the administrative system and the legislature’s reasoning behind the specific form and powers given to it. Methodologically, I base my research first and foremost on primary sources: public health publications, relevant legislation (laws, ministerial decrees and ciculars) as well as contemporary mgazines, newspapers and correspondences.</w:t>
      </w:r>
      <w:r>
        <w:rPr>
          <w:color w:val="000000"/>
          <w:sz w:val="24"/>
          <w:szCs w:val="24"/>
        </w:rPr>
        <w:br/>
        <w:br/>
        <w:t xml:space="preserve">My main findings uncovered that from the 20th century onwards, the principles behind the organisation of Hungarian public healthcare administration were centered around the concept of the wellfare state. I also conclude that the formation of the OKI was mainly due to the centralising tendencies of the Hungarian state as well as the assisstance of the Rockefeller Foundation. Contemporary sources and legislation distinctly indicate that the establishment of the OKI was a welcome change, as it represented modernisation as well as the standardisation of the public healthcare system. This standardisation is most apparent in the new authority’s systematic professionalism, as opposed to the non-systematic disarray of the various state bodies that existed beforehand.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66924">
    <w:multiLevelType w:val="hybridMultilevel"/>
    <w:lvl w:ilvl="0" w:tplc="86524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66924">
    <w:abstractNumId w:val="66466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190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