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BAKÁCS</w:t>
            </w:r>
          </w:p>
          <w:p w:rsidR="00C275A3" w:rsidRDefault="00A96AEC" w:rsidP="00C275A3">
            <w:pPr>
              <w:pStyle w:val="Hallgatokepzes"/>
            </w:pPr>
            <w:r>
              <w:t>Communications and Media</w:t>
            </w:r>
            <w:r>
              <w:br/>
            </w:r>
            <w:r w:rsidR="00E77B23">
              <w:t>BA, 7.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Tibor Görföl</w:t>
            </w:r>
          </w:p>
          <w:p w:rsidR="00DB4822" w:rsidRDefault="00DB4822" w:rsidP="009763E0">
            <w:pPr>
              <w:pStyle w:val="Konzulensektitulus"/>
            </w:pPr>
            <w:r w:rsidRPr="00DB4822">
              <w:t> 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Mechanisms for thoughts spread and the role of memes in the Internet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focuses on the internet culture and memes as an integral part of it. The thesis looks at the characteristics of the memes and how they spread in the Internet based on two theoretical concepts of the cultural elements’ “infections”. First the thesis analyses the origin, history and the development conditions of the internet memes and how closely they related to a network subculture. Then, the study moves to the impact of memes on the off-line culture, and on the processes of the globalising representations with further enhancement of the cultural homogenisation as the sequel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83539">
    <w:multiLevelType w:val="hybridMultilevel"/>
    <w:lvl w:ilvl="0" w:tplc="68412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83539">
    <w:abstractNumId w:val="79783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546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