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ANNA GEORGINA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Kovács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Olyan mintha. A vizuális metafora a társadalmi célú reklámban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reklámkultúrájában megfigyelhető jelenség egyfajta kreativitás verseny. Minél jobban megragadja az emberek figyelmét valamilyen rendhagyó módon, annál sikeresebb. Különösen érzékeny terület a társadalmi célú kommunikáció, ahol a középpontban olyan ügy áll, amely mindannyiunk érdekem és ijesztő, meghökkentő módon a szemünk elé tárja azokat a problémákat, amelyek jelenlegi világunkban tombolnak. Ez a meghökkentő, ijesztő mód az a tendencia, amely felkeltette érdeklődésem.</w:t>
      </w:r>
      <w:r>
        <w:rPr>
          <w:color w:val="000000"/>
          <w:sz w:val="24"/>
          <w:szCs w:val="24"/>
        </w:rPr>
        <w:br/>
        <w:t xml:space="preserve">Dolgozatomban a reklámképeken megjelenő retorikai alakzatok elemzésének egyik módszerét mutatom be, társadalmi célú hirdetésekre specifikálva. A vizuális kommunikáció, vizuális retorika irányától indulva vezetem végig az elméleti keretet a képi metafora vizsgálatához. A reklám definíciójától indulva jutok a társadalmi célú kommunikációhoz, azon belül pedig a társadalmi célú hirdetés fogalmához, majd társadalmi célú reklámképeken bemutatom Barbara J. Phillips és Edward F. McQuarrie vizuális alakzat tipológiájának gyakorlati működését. Végeredményben összegzem, hogyan operálnak a társadalmi célú hirdetések a vizuális metaforával, milyen különbségek ragadhatók meg a kereskedelmi reklámok metafora használatával. Az elemzés nem kereskedelmi reklámképeken történt, amely azért fontos, mert nem a terméket állították középpontba, hanem valamilyen problémát, amely nehezen azonosítható, vagy hasonlítható bármely más problémával, mivel nem versenyeztetjük a céltartományt, ahogy az a kereskedelmi reklám esetében történik.</w:t>
      </w:r>
      <w:r>
        <w:rPr>
          <w:color w:val="000000"/>
          <w:sz w:val="24"/>
          <w:szCs w:val="24"/>
        </w:rPr>
        <w:br/>
        <w:t xml:space="preserve">A profitorientált és a nonprofit szférából választva a United Colors of Benetton sokk-reklámként elhíresült kampányképeinek strukturális elemzéséhez használtam tipológiájukat, valamint a World Wild Fund for Nature (WWF) design- és reklámblogok által népszerűnek és elgondolkodtatónak minősített kampányképeinek egy részén elemeztem a természetvédelem szolgálatába állított, a tipológia által kínált strukturális képi lehetőségeket. További kutatási, vizsgálati irányokat javasoltam szorgalmazva a befogadói oldal bevonását és egy integrált strukturális, funkcionális rendszertan létrehozását a reklámképek elemzéséhez.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40234">
    <w:multiLevelType w:val="hybridMultilevel"/>
    <w:lvl w:ilvl="0" w:tplc="87502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40234">
    <w:abstractNumId w:val="118402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052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