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SZILÁGYI</w:t>
            </w:r>
          </w:p>
          <w:p w:rsidR="00C275A3" w:rsidRDefault="00A96AEC" w:rsidP="00C275A3">
            <w:pPr>
              <w:pStyle w:val="Hallgatokepzes"/>
            </w:pPr>
            <w:r>
              <w:t>Media and Communication Studies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Dóra P. Szilczl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phenomenon of flash mob. The research of flash mobs based on modern communication technology and group phenomena.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TDK paper is the flash mob. This phenomenon is relatively new and it has many aspects. I will clarify this notion, then I will try to show its connection with the audience, with the location, with the media and culture. I hope these aspects will demonstrate how to interpret flash mobs (for example an art or a provocation in a positive sense). As I am studying Public Relations Studies, I was curious about if the flash mob can be regarded as guerilla marketing. In the fourth chapter I will classify different flash mobs according to my own aspects like time, location, number of participants and aims. Furthermore I will investigate the connection between modern informational - communicational devices and flash mob. This chapter will deal with if the flash mob can be considered a hyber space and how the physical and virtual world encounter. In the sixth chapter I will approach the basic groups participating in flash mobs from a socio psychological aspect. In the last chapter I will examine the questionnaires filled in by three different groups, those who have already participated in a flash mob, those who have not participated in one yet and with one partcipant who has already organised a flash mob.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37331">
    <w:multiLevelType w:val="hybridMultilevel"/>
    <w:lvl w:ilvl="0" w:tplc="43113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37331">
    <w:abstractNumId w:val="617373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838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