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KÓTI</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István Süli-Zakar Dsc.</w:t>
            </w:r>
          </w:p>
          <w:p w:rsidR="00DB4822" w:rsidRDefault="00DB4822" w:rsidP="00E11062">
            <w:pPr>
              <w:pStyle w:val="Konzulensek"/>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Education – as the most essential implement concerned to the integration of the Roma population in the case of Tiszavasvári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Education – as the most essential implement concerned to the integration of the Roma population in the case of Tiszavasvári</w:t>
      </w:r>
    </w:p>
    <w:p>
      <w:pPr>
        <w:widowControl w:val="on"/>
        <w:pBdr/>
        <w:spacing w:before="240" w:after="240" w:line="240" w:lineRule="auto"/>
        <w:ind w:left="0" w:right="0"/>
        <w:jc w:val="left"/>
      </w:pPr>
      <w:r>
        <w:rPr>
          <w:color w:val="000000"/>
          <w:sz w:val="24"/>
          <w:szCs w:val="24"/>
        </w:rPr>
        <w:t xml:space="preserve">One of the main reasons why I selected the topic – in addition to my local patriotism is, that the social and economic integration of the Roma population is undisputedly one of the most prominent tasks related to the internal affairs of Hungary. Nowadays in the postmodern world it’s unambiguous that the educators’ vital aim is to support and subserve the emergence of the Roma population, hereby to teach them the fundamental European value systems. Obvious statements have been revealed about the current situation of Roma pupils during the research as a result of the consultations that had been performed with teachers and members of the educating staff.</w:t>
      </w:r>
      <w:r>
        <w:rPr>
          <w:color w:val="000000"/>
          <w:sz w:val="24"/>
          <w:szCs w:val="24"/>
        </w:rPr>
        <w:br/>
        <w:t xml:space="preserve">The Roma community of Tiszavasvári consists of two ethnic groups, both living in ghettos of the peripheral residential area of the city. Members of the ‘Romungro’ community (also mentioned as ‘Bűdi’ community) stand mostly in a higher level of integration – accordingly the majority of the parents might have future plans in relation with the higher education – as a positive prognosis for the future. The ‘Oláh’ population represents a deep lag in comparison with the majority of society.</w:t>
      </w:r>
      <w:r>
        <w:rPr>
          <w:color w:val="000000"/>
          <w:sz w:val="24"/>
          <w:szCs w:val="24"/>
        </w:rPr>
        <w:br/>
        <w:t xml:space="preserve">As far as I am concerned, the ‘quality education’ could bring the solution for the issues associated with the uprise of the Roma population. The majority of the Roma pupils in Tiszavasvári do studies under segregated conditions: an increasing number of segregated classes and even segregated homogenous Roma schools can be observed – showing a negative forecast about the deepening gap between the majority of society and the Roma population. According to this research, as a suggestion the mixed-class education should be supported in order to increase the current presence of 0.2 % of the Roma students in the higher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82001">
    <w:multiLevelType w:val="hybridMultilevel"/>
    <w:lvl w:ilvl="0" w:tplc="35057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82001">
    <w:abstractNumId w:val="12282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652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