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DEÁK</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Pénzes PhD</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supply and energy dependence of Hungary and the European Union after the millennium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 investigated the most important traits and priorities of the European Union's energy policy in my research. I especially dealt with the 2020 and the 2030 objectives, the incentives and the Energy 2020 strategy. My database was consisted of data series published by the Eurostat, KSH and GIE, then I analyzed the spatial differences and temporal changes in the EU's energy dependency, in the gas storage facilities, as well as I classified countries according to their level of energy dependency.</w:t>
      </w:r>
      <w:r>
        <w:rPr>
          <w:color w:val="000000"/>
          <w:sz w:val="24"/>
          <w:szCs w:val="24"/>
        </w:rPr>
        <w:br/>
        <w:t xml:space="preserve">     I considered important to examine the energy relations between the EU and Russia in terms of energy dependence. I analyzed the international English literature and I described and detailed the energy interdependence of the EU and Russia, the differences in the energy policies and objectives, the factors influencing the Russian’s natural gas exports and its expected future development.</w:t>
      </w:r>
      <w:r>
        <w:rPr>
          <w:color w:val="000000"/>
          <w:sz w:val="24"/>
          <w:szCs w:val="24"/>
        </w:rPr>
        <w:br/>
        <w:t xml:space="preserve">     Finally, I examined the energy situation of Hungary. I overviewed the Hungarian fossil and alternative energy characteristics, then I explained the main priorities of the Hungarian energy policy, the assistance system and the main obligations by the EU more precisely.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73288">
    <w:multiLevelType w:val="hybridMultilevel"/>
    <w:lvl w:ilvl="0" w:tplc="62492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73288">
    <w:abstractNumId w:val="99973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171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