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FICSÓR</w:t>
            </w:r>
          </w:p>
          <w:p w:rsidR="00C275A3" w:rsidRDefault="00A96AEC" w:rsidP="00C275A3">
            <w:pPr>
              <w:pStyle w:val="Hallgatokepzes"/>
            </w:pPr>
            <w:r>
              <w:t>Geography</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Borbála Halasi-Kovácsné Benkhard </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thematic roads presenting of the stone-culture of Bükkalja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dissertation is presenting the stone-culture of Bükkalja processing thematic road and the consortium, as well as the running, analysing and comparising of these organizations.</w:t>
      </w:r>
      <w:r>
        <w:rPr>
          <w:color w:val="000000"/>
          <w:sz w:val="24"/>
          <w:szCs w:val="24"/>
        </w:rPr>
        <w:br/>
        <w:t xml:space="preserve">The ryolit tuff and ryolit ignimbrite which were created during the miocene volcanism, are excellent for treating and resisting the natural elements. Due to this a special local culture evolved, which used the covering rocks of Bükkalja .This was the fund of the emergencing of the stone-culture of Bükkalja.We can meet with its memories through the thematic road in clear and periphery ofsixteen settlements, which are the following: cave dwellings, barns, wine-cellars and beehive rocks.</w:t>
      </w:r>
      <w:r>
        <w:rPr>
          <w:color w:val="000000"/>
          <w:sz w:val="24"/>
          <w:szCs w:val="24"/>
        </w:rPr>
        <w:br/>
        <w:t xml:space="preserve">In my dissertation I analyzed two thematic roads, which can be found in this area, particularly their operations, the interpretion tools and maketing elements used. The thematic road which name is Bükkaljai Stone-Road created the Beehive rock Nature Conservation and Cultural Association in 2008. This Association was awarded the Prize for European Landscape in 2010. This initiative, which was an essential element in the road using the thematic presentation. With this analysis concluded that the literature on the characteristic set out in meets, so it really can be a thematic road.</w:t>
      </w:r>
      <w:r>
        <w:rPr>
          <w:color w:val="000000"/>
          <w:sz w:val="24"/>
          <w:szCs w:val="24"/>
        </w:rPr>
        <w:br/>
        <w:t xml:space="preserve">In contrast, the other, seven settlement are created in 2009, which name is Bükkalja Stone Culture and the South Gate of Bükk Thematic Road and Tourism Cooperation Consortium for the primary purpose is to some extent the presentation of the rock culture by, but not necessarily their endowments attached to the membet municipalities prominent role gain in the region.</w:t>
      </w:r>
      <w:r>
        <w:rPr>
          <w:color w:val="000000"/>
          <w:sz w:val="24"/>
          <w:szCs w:val="24"/>
        </w:rPr>
        <w:br/>
        <w:t xml:space="preserve">The presentation of the techniques I used, marketing tools and interviews analysis to determine if it is already involved in Bükkaljai Stone-Road as a thematic road by and presented seven settlements consortium meeting, a „minor thematic road”. With their secession the actual thematic road weakened and there is nothing that would produce more attraction.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49874">
    <w:multiLevelType w:val="hybridMultilevel"/>
    <w:lvl w:ilvl="0" w:tplc="74550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49874">
    <w:abstractNumId w:val="860498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154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