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TŐZSÉR</w:t>
            </w:r>
          </w:p>
          <w:p w:rsidR="00C275A3" w:rsidRDefault="00A96AEC" w:rsidP="00C275A3">
            <w:pPr>
              <w:pStyle w:val="Hallgatokepzes"/>
            </w:pPr>
            <w:r>
              <w:t>Environmental Science</w:t>
            </w:r>
            <w:r>
              <w:br/>
            </w:r>
            <w:r w:rsidR="00E77B23">
              <w:t>MSc, 3.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Edina Simon Dr.</w:t>
            </w:r>
          </w:p>
          <w:p w:rsidR="00DB4822" w:rsidRDefault="00DB4822" w:rsidP="009763E0">
            <w:pPr>
              <w:pStyle w:val="Konzulensektitulus"/>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heavy metal contaminated sewage sludge on the condition of Salix viminalis saplings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paper we studied the bio-rehabilitation of a land permanently inundated by heavy metal contaminated sewage sludge. The assessment was carried out at the ponds of Lovász-zug, found on the southwestern edge of Debrecen. </w:t>
      </w:r>
    </w:p>
    <w:p>
      <w:pPr>
        <w:widowControl w:val="on"/>
        <w:pBdr/>
        <w:spacing w:before="240" w:after="240" w:line="240" w:lineRule="auto"/>
        <w:ind w:left="0" w:right="0"/>
        <w:jc w:val="left"/>
      </w:pPr>
      <w:r>
        <w:rPr>
          <w:color w:val="000000"/>
          <w:sz w:val="24"/>
          <w:szCs w:val="24"/>
        </w:rPr>
        <w:t xml:space="preserve">After having turned unnecessary, the former 26 ha settling ponds became suitable to be recultivated. In 2013, as one of the first steps – due to the beneficial phytoremediation features – 5800 pieces of Common osier willow (Salix viminalis L.) saplings were planted. As a purpose during the work, we provided an estimation for the success of phytoremediation by assessing the condition of willows. </w:t>
      </w:r>
    </w:p>
    <w:p>
      <w:pPr>
        <w:widowControl w:val="on"/>
        <w:pBdr/>
        <w:spacing w:before="240" w:after="240" w:line="240" w:lineRule="auto"/>
        <w:ind w:left="0" w:right="0"/>
        <w:jc w:val="left"/>
      </w:pPr>
      <w:r>
        <w:rPr>
          <w:color w:val="000000"/>
          <w:sz w:val="24"/>
          <w:szCs w:val="24"/>
        </w:rPr>
        <w:t xml:space="preserve">Between 8 July and 1 September 2014 we analyzed 500 pieces of saplings from the northern, 250 pcs from the middle and 200 pcs from the southern part of the pond system. In the course of fieldwork, we made a note of the tree length, put down a brief description and took a photo of each willow. After that, using a corresponding evaluation system, we classified and compared the specimen by the aforementioned northern-middle-southern partitioning. Among the statistical methods, descriptive statistics, Canonical discriminant function analysis, Levene’s test, one-way ANOVA, Kruskal-Wallis non-parametric test and Tukey’s HSD test were applied. </w:t>
      </w:r>
    </w:p>
    <w:p>
      <w:pPr>
        <w:widowControl w:val="on"/>
        <w:pBdr/>
        <w:spacing w:before="240" w:after="240" w:line="240" w:lineRule="auto"/>
        <w:ind w:left="0" w:right="0"/>
        <w:jc w:val="left"/>
      </w:pPr>
      <w:r>
        <w:rPr>
          <w:color w:val="000000"/>
          <w:sz w:val="24"/>
          <w:szCs w:val="24"/>
        </w:rPr>
        <w:t xml:space="preserve">In our work we came to the conclusion, that in virtue of the length, the northern part of the pond system significantly differs from the middle and the southern units. By average condition values, trees from the middle pond are in the most unfavorable state of health, while both the northern and the southern saplings are in better condition, similarly. Based on an extant elemental analysis, statistical results showed, that the pond units prove significant deviation in point of heavy metal concentration. </w:t>
      </w:r>
    </w:p>
    <w:p>
      <w:pPr>
        <w:widowControl w:val="on"/>
        <w:pBdr/>
        <w:spacing w:before="240" w:after="240" w:line="240" w:lineRule="auto"/>
        <w:ind w:left="0" w:right="0"/>
        <w:jc w:val="left"/>
      </w:pPr>
      <w:r>
        <w:rPr>
          <w:color w:val="000000"/>
          <w:sz w:val="24"/>
          <w:szCs w:val="24"/>
        </w:rPr>
        <w:t xml:space="preserve">To conclude, specimen in the worst average condition can be found in the middle part. At the same time, our expectations did not come true regarding the northern and southern ponds. Despite the higher heavy metal concentrations – correlated with the northern unit – willows from the southern pond are in the most favorable condition, on average.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60468">
    <w:multiLevelType w:val="hybridMultilevel"/>
    <w:lvl w:ilvl="0" w:tplc="89143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60468">
    <w:abstractNumId w:val="125604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016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