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VÉRTESY</w:t>
            </w:r>
          </w:p>
          <w:p w:rsidR="00C275A3" w:rsidRDefault="00A96AEC" w:rsidP="00C275A3">
            <w:pPr>
              <w:pStyle w:val="Hallgatokepzes"/>
            </w:pPr>
            <w:r>
              <w:t>Ornamental Horticulture Engineer</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Márk Steiner</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Magdolna Sütöriné Dr. Diószegi</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Károly Hrotkó </w:t>
            </w:r>
          </w:p>
          <w:p w:rsidR="00DB4822" w:rsidRDefault="00DB4822" w:rsidP="00E11062">
            <w:pPr>
              <w:pStyle w:val="Konzulensek"/>
            </w:pPr>
            <w:r w:rsidRPr="00DB4822">
              <w:t>professor, head of the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Carbon dioxide assimilation in the leaves of Tilia varieties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Nowdays the monitoring of environmental pollution and climate changes becomes more and more important. The Department of Floriculture and Dendrology and the Department of Soil Science and Water Management (Corvinus University of Budapest ) and the Department of Meteorology (Eötvös Loránd University) are working together in projects OTKA 104867 and 1048852. Based on plant biological and meteorogical measurements the purpose of the project is describing the present urban environment and the changeability of its parameters. As a part of this research we compeared Tilia taxes planted as an alley at Soroksár Experimental Farm. Because of lenght cases we publish just the results of the measurement of Leaf Area Index (LAI), CO</w:t>
      </w:r>
      <w:r>
        <w:rPr>
          <w:color w:val="000000"/>
          <w:position w:val="-4"/>
          <w:sz w:val="21"/>
          <w:szCs w:val="21"/>
          <w:vertAlign w:val="subscript"/>
        </w:rPr>
        <w:t xml:space="preserve">2</w:t>
      </w:r>
      <w:r>
        <w:rPr>
          <w:color w:val="000000"/>
          <w:sz w:val="24"/>
          <w:szCs w:val="24"/>
        </w:rPr>
        <w:t xml:space="preserve"> fixation and the clorofill content of leaves in this paper, but we also made phenological observations and measurements on growing and the water management of trees. The aim of this work is contributing the results of the tolerant of clima of the taxes and finding the mostly adapted taxes. In this paper we want to compare the taxes based on the CO</w:t>
      </w:r>
      <w:r>
        <w:rPr>
          <w:color w:val="000000"/>
          <w:position w:val="-4"/>
          <w:sz w:val="21"/>
          <w:szCs w:val="21"/>
          <w:vertAlign w:val="subscript"/>
        </w:rPr>
        <w:t xml:space="preserve">2</w:t>
      </w:r>
      <w:r>
        <w:rPr>
          <w:color w:val="000000"/>
          <w:sz w:val="24"/>
          <w:szCs w:val="24"/>
        </w:rPr>
        <w:t xml:space="preserve"> fixation.</w:t>
      </w:r>
      <w:r>
        <w:rPr>
          <w:color w:val="000000"/>
          <w:sz w:val="24"/>
          <w:szCs w:val="24"/>
        </w:rPr>
        <w:br/>
        <w:t xml:space="preserve">According to the literature we introduced the urban environment, the need of the taxes, the factors wich infect the mechanism of photosynthesis and the results of the published former researches in connection with this alley.</w:t>
      </w:r>
      <w:r>
        <w:rPr>
          <w:color w:val="000000"/>
          <w:sz w:val="24"/>
          <w:szCs w:val="24"/>
        </w:rPr>
        <w:br/>
        <w:t xml:space="preserve">Based on our measurments the effect of stomatal conductance and photosythetical active radiation (PAR) to CO2 assimilation were the same as described in former researches. The effects of the actual meteorogical parameters and the leaf surface temperature were also well detected. We also descried the modificatory effect of the clorofill content of leaves (calculated also for area and weight unit).</w:t>
      </w:r>
      <w:r>
        <w:rPr>
          <w:color w:val="000000"/>
          <w:sz w:val="24"/>
          <w:szCs w:val="24"/>
        </w:rPr>
        <w:br/>
        <w:t xml:space="preserve">In 2013 (was a drought year) T. t. ’Szeleste’, in 2014 (wet year) T. a. ’Redmond’ fixed the most CO</w:t>
      </w:r>
      <w:r>
        <w:rPr>
          <w:color w:val="000000"/>
          <w:position w:val="-4"/>
          <w:sz w:val="21"/>
          <w:szCs w:val="21"/>
          <w:vertAlign w:val="subscript"/>
        </w:rPr>
        <w:t xml:space="preserve">2</w:t>
      </w:r>
      <w:r>
        <w:rPr>
          <w:color w:val="000000"/>
          <w:sz w:val="24"/>
          <w:szCs w:val="24"/>
        </w:rPr>
        <w:t xml:space="preserve">, and in both years T. c. ’Greenspire’ fixed the less.</w:t>
      </w:r>
      <w:r>
        <w:rPr>
          <w:color w:val="000000"/>
          <w:sz w:val="24"/>
          <w:szCs w:val="24"/>
        </w:rPr>
        <w:br/>
        <w:t xml:space="preserve">According to our measurements we found numerical details to compare the CO</w:t>
      </w:r>
      <w:r>
        <w:rPr>
          <w:color w:val="000000"/>
          <w:position w:val="-4"/>
          <w:sz w:val="21"/>
          <w:szCs w:val="21"/>
          <w:vertAlign w:val="subscript"/>
        </w:rPr>
        <w:t xml:space="preserve">2</w:t>
      </w:r>
      <w:r>
        <w:rPr>
          <w:color w:val="000000"/>
          <w:sz w:val="24"/>
          <w:szCs w:val="24"/>
        </w:rPr>
        <w:t xml:space="preserve"> fixation of taxes with different needs. To clarify them further measurments are nececary. Using the result of the phenological observations and water management we can rate the taxes much better.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97864">
    <w:multiLevelType w:val="hybridMultilevel"/>
    <w:lvl w:ilvl="0" w:tplc="97684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97864">
    <w:abstractNumId w:val="23997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171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