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SZELÉNYI MAGDOLNA</w:t>
            </w:r>
          </w:p>
          <w:p w:rsidR="00C275A3" w:rsidRDefault="00A96AEC" w:rsidP="00C275A3">
            <w:pPr>
              <w:pStyle w:val="Hallgatokepzes"/>
            </w:pPr>
            <w:r>
              <w:t>horticultural engenieer</w:t>
            </w:r>
            <w:r>
              <w:br/>
            </w:r>
            <w:r w:rsidR="00E77B23">
              <w:t>BSc, 5.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Júlia Halász</w:t>
            </w:r>
          </w:p>
          <w:p w:rsidR="00DB4822" w:rsidRDefault="00DB4822" w:rsidP="00E11062">
            <w:pPr>
              <w:pStyle w:val="Konzulensek"/>
            </w:pPr>
            <w:r w:rsidRPr="00DB4822">
              <w:t>associate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Molecular characterization of the native Hippophaë population in Újpest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Sea buckthorn (Hippophaë rhamnoides L.) can be used for many horticultural purposes: as fruit, herb or ornamental plant and it is suitable for planting in degraded soil. According to the increased demands, its cultivars have become more and more popular and its natural populations has been getting more attention as well.</w:t>
      </w:r>
      <w:r>
        <w:rPr>
          <w:color w:val="000000"/>
          <w:sz w:val="24"/>
          <w:szCs w:val="24"/>
        </w:rPr>
        <w:br/>
        <w:t xml:space="preserve">In case of cultivars of seabuckthorn there was no any data available based on molecular markers. Used the previously developed SSR markers for Hippophae species we analysed 13 widespread cultivars. In the 7 loci, 53 alleles were identified, which means 7.5 alleles per loci. Due to various band size, the 13 cultivars were characterized by an idividual DNA-fingerprint.</w:t>
      </w:r>
      <w:r>
        <w:rPr>
          <w:color w:val="000000"/>
          <w:sz w:val="24"/>
          <w:szCs w:val="24"/>
        </w:rPr>
        <w:br/>
        <w:t xml:space="preserve">In Hungary, as one of the most significant natural value, the only native Hippophae population can be found in Újpest. Our aim was the genetic characterization of the population, based on the polymorph SSR-markers and the variability of the Chsi, as well as to determine the female-male plant ratio in the population with specific markers. We detected in the Hr01 and Hr02 loci 3 alleles, in the Hr03 5, in the Hr06, HrMS12, HrMS003 loci 2 alleles was found. Based on the SCAR-markers the female plants’s ratio to the male was 1:1,42.</w:t>
      </w:r>
      <w:r>
        <w:rPr>
          <w:color w:val="000000"/>
          <w:sz w:val="24"/>
          <w:szCs w:val="24"/>
        </w:rPr>
        <w:br/>
        <w:t xml:space="preserve">Analysis of the SSR-markers and the sequence information proved unequivocally, that the population under environmental protection is perfectly homogeneous and the genetic variability is very low. The low variability is due to the clonally propagation by root suckers of few tolerant genotypes because of the habitat’s degradation and the rise of the enviromental stress. Considering our results and the demographic history of the area, the population can be considered as a putative relict population.</w:t>
      </w:r>
      <w:r>
        <w:rPr>
          <w:color w:val="000000"/>
          <w:sz w:val="24"/>
          <w:szCs w:val="24"/>
        </w:rPr>
        <w:br/>
        <w:t xml:space="preserve">In the light of our results, maintaining the rehabilitation of the area and preserving its values is a current task since the sea buckthorn’s native occurrence represents extraordinary botanical values and preserving them must be of high priority.</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820016">
    <w:multiLevelType w:val="hybridMultilevel"/>
    <w:lvl w:ilvl="0" w:tplc="842948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820016">
    <w:abstractNumId w:val="758200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40663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