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REICHHARDT</w:t>
            </w:r>
          </w:p>
          <w:p w:rsidR="00C275A3" w:rsidRDefault="00A96AEC" w:rsidP="00C275A3">
            <w:pPr>
              <w:pStyle w:val="Hallgatokepzes"/>
            </w:pPr>
            <w:r>
              <w:t>BSc in Horticulture </w:t>
            </w:r>
            <w:r>
              <w:br/>
            </w:r>
            <w:r w:rsidR="00E77B23">
              <w:t>BSc, 7.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Andrzej Pedryc</w:t>
            </w:r>
          </w:p>
          <w:p w:rsidR="00DB4822" w:rsidRDefault="00DB4822" w:rsidP="009763E0">
            <w:pPr>
              <w:pStyle w:val="Konzulensektitulus"/>
            </w:pPr>
            <w:r w:rsidRPr="00DB4822">
              <w:t>professor, BCE KERTK</w:t>
            </w:r>
          </w:p>
        </w:tc>
      </w:tr>
      <w:tr w:rsidR="00DB4822" w:rsidTr="00DB4822">
        <w:tc>
          <w:tcPr>
            <w:tcW w:w="9854" w:type="dxa"/>
          </w:tcPr>
          <w:p w:rsidR="00DB4822" w:rsidRPr="00DB4822" w:rsidRDefault="00DB4822" w:rsidP="009763E0">
            <w:pPr>
              <w:pStyle w:val="Konzulenseknev"/>
            </w:pPr>
            <w:r w:rsidRPr="00DB4822">
              <w:t>Rita Hermán</w:t>
            </w:r>
          </w:p>
          <w:p w:rsidR="00DB4822" w:rsidRDefault="00DB4822" w:rsidP="009763E0">
            <w:pPr>
              <w:pStyle w:val="Konzulensektitulus"/>
            </w:pPr>
            <w:r w:rsidRPr="00DB4822">
              <w:t>research worker,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Re-assessment of the usability of the ‘Goldrich’ apricot in breeding programs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thesis is to re-assess the breeding value of the North American ‘Goldrich’ apricot cultivar in the course of the pomological assessment based on the valuation of the following families: ‘Goldrich’ × ‘Kecs-psar’, ‘Goldrich’ × ‘Morden 604’ and ‘Bergeron’ × ‘Goldrich’.</w:t>
      </w:r>
    </w:p>
    <w:p>
      <w:pPr>
        <w:widowControl w:val="on"/>
        <w:pBdr/>
        <w:spacing w:before="240" w:after="240" w:line="240" w:lineRule="auto"/>
        <w:ind w:left="0" w:right="0"/>
        <w:jc w:val="left"/>
      </w:pPr>
      <w:r>
        <w:rPr>
          <w:color w:val="000000"/>
          <w:sz w:val="24"/>
          <w:szCs w:val="24"/>
        </w:rPr>
        <w:t xml:space="preserve">The following characteristics were measured during the test: the ripening time, the fruit size and shape, ground colour of skin, relative area of over colour, colour of fruit flesh as well as the soluble solids content.</w:t>
      </w:r>
    </w:p>
    <w:p>
      <w:pPr>
        <w:widowControl w:val="on"/>
        <w:pBdr/>
        <w:spacing w:before="240" w:after="240" w:line="240" w:lineRule="auto"/>
        <w:ind w:left="0" w:right="0"/>
        <w:jc w:val="left"/>
      </w:pPr>
      <w:r>
        <w:rPr>
          <w:color w:val="000000"/>
          <w:sz w:val="24"/>
          <w:szCs w:val="24"/>
        </w:rPr>
        <w:t xml:space="preserve">The hybrid trees used for the test bore fruits in 2013 for the first time, therefore examination and summarizing data collected was possible for a period of two consecutive years.</w:t>
      </w:r>
    </w:p>
    <w:p>
      <w:pPr>
        <w:widowControl w:val="on"/>
        <w:pBdr/>
        <w:spacing w:before="240" w:after="240" w:line="240" w:lineRule="auto"/>
        <w:ind w:left="0" w:right="0"/>
        <w:jc w:val="left"/>
      </w:pPr>
      <w:r>
        <w:rPr>
          <w:color w:val="000000"/>
          <w:sz w:val="24"/>
          <w:szCs w:val="24"/>
        </w:rPr>
        <w:t xml:space="preserve">The offspring fruits of the ‘Goldrich’ × ‘Kecs-psar’ combination tend to be rather small sized similar to that of ‘Kecs-psar’ cultivar. It means that ‘Goldrich’ in this combination is not appropriate for increasing fruit size. However the high soluble solids content characteristic for ‘Kecs-psar’ cultivar seems to be successfully transmitted to the hybrids. According to the results obtained the 50% of the hybrids showed 19°Brix or even higher in both years. In terms of ripening time we got a decisive majority of the typical July ‘Goldrich’-maturing offspring.</w:t>
      </w:r>
    </w:p>
    <w:p>
      <w:pPr>
        <w:widowControl w:val="on"/>
        <w:pBdr/>
        <w:spacing w:before="240" w:after="240" w:line="240" w:lineRule="auto"/>
        <w:ind w:left="0" w:right="0"/>
        <w:jc w:val="left"/>
      </w:pPr>
      <w:r>
        <w:rPr>
          <w:color w:val="000000"/>
          <w:sz w:val="24"/>
          <w:szCs w:val="24"/>
        </w:rPr>
        <w:t xml:space="preserve">The soluble solids content of the offspring of the ‘Goldrich’ × ‘Morden 604’ combination is significantly higher comparing to the parents. The fruit size of seedlings is similar to the value measured in case of ‘Morden 604’. In terms of the ripening time the hybrids cover almost the same period as the parents - the beginning of July.</w:t>
      </w:r>
    </w:p>
    <w:p>
      <w:pPr>
        <w:widowControl w:val="on"/>
        <w:pBdr/>
        <w:spacing w:before="240" w:after="240" w:line="240" w:lineRule="auto"/>
        <w:ind w:left="0" w:right="0"/>
        <w:jc w:val="left"/>
      </w:pPr>
      <w:r>
        <w:rPr>
          <w:color w:val="000000"/>
          <w:sz w:val="24"/>
          <w:szCs w:val="24"/>
        </w:rPr>
        <w:t xml:space="preserve">Summarizing research results it could be ascertained that there is chance to select promising hybrids from both the ‘Goldrich’ × ‘Kecs-psar’ and ‘Goldrich’ × ‘Morden 604’ combinations. The both combination yielded in offspring with the increased soluble solids content The increasing of fruit size were rarely detected In terms of ripening times it is impossible conclude obvious result based on the collected samples due to the different weather conditions in years 2013 and 2014.</w:t>
      </w:r>
    </w:p>
    <w:p>
      <w:pPr>
        <w:widowControl w:val="on"/>
        <w:pBdr/>
        <w:spacing w:before="240" w:after="240" w:line="240" w:lineRule="auto"/>
        <w:ind w:left="0" w:right="0"/>
        <w:jc w:val="left"/>
      </w:pPr>
      <w:r>
        <w:rPr>
          <w:color w:val="000000"/>
          <w:sz w:val="24"/>
          <w:szCs w:val="24"/>
        </w:rPr>
        <w:t xml:space="preserve">Based on our results the ‘Goldrich’ apricot should be approached from a different perspective as a source of resistance to Plum Pox Virus.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36440">
    <w:multiLevelType w:val="hybridMultilevel"/>
    <w:lvl w:ilvl="0" w:tplc="11772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36440">
    <w:abstractNumId w:val="56436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336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