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VANDA KOLLÁTH</w:t>
            </w:r>
          </w:p>
          <w:p w:rsidR="00C275A3" w:rsidRDefault="00A96AEC" w:rsidP="00C275A3">
            <w:pPr>
              <w:pStyle w:val="Hallgatokepzes"/>
            </w:pPr>
            <w:r>
              <w:t>BSc in Environmental Management</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Kovács</w:t>
            </w:r>
          </w:p>
          <w:p w:rsidR="00DB4822" w:rsidRDefault="00DB4822" w:rsidP="00E11062">
            <w:pPr>
              <w:pStyle w:val="Konzulensek"/>
            </w:pPr>
            <w:r w:rsidRPr="00DB4822">
              <w:t>adjunct, BCE KERTK</w:t>
            </w:r>
          </w:p>
        </w:tc>
      </w:tr>
      <w:tr w:rsidR="00DB4822" w:rsidTr="00DB4822">
        <w:tc>
          <w:tcPr>
            <w:tcW w:w="9854" w:type="dxa"/>
          </w:tcPr>
          <w:p w:rsidR="00DB4822" w:rsidRPr="00DB4822" w:rsidRDefault="00DB4822" w:rsidP="004D7940">
            <w:pPr>
              <w:pStyle w:val="Konzulensek"/>
            </w:pPr>
            <w:r w:rsidRPr="00DB4822">
              <w:t>Ágnes Molnár</w:t>
            </w:r>
          </w:p>
          <w:p w:rsidR="00DB4822" w:rsidRDefault="00DB4822" w:rsidP="00E11062">
            <w:pPr>
              <w:pStyle w:val="Konzulensek"/>
            </w:pPr>
            <w:r w:rsidRPr="00DB4822">
              <w:t>PhD student,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fruit quality of wild growing and cultivated blackthorn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thesis, fruits of wild growing and cultivated blackthorn types were evaluated. From 5 taxa, the samples were collected from natural conditions. They mainly have been collected from the South-East region of Hungary, further 6 samples were originated from a private vineyard of blackthorn varieties of Ferenc Szőke, breeder in Lövőpetri (in North-Western Hungary) and one sample from the Soroksár plum variety collection. The physical parameters (length, diameter, weight, seed weight, shape index, rock core ratio) and nutritional properties (acid, sugar, acid / sugar ratio, the amount of water soluble solids and total polyphenol content) of the plants were investigated. The experiments were carried out in the Fruit Analytical Laboratory at the Department of Pomology, Corvinus University of Budapest. Our results were compared to data from domestic and foreign literature.</w:t>
      </w:r>
      <w:r>
        <w:rPr>
          <w:color w:val="000000"/>
          <w:sz w:val="24"/>
          <w:szCs w:val="24"/>
        </w:rPr>
        <w:br/>
        <w:t xml:space="preserve">The thesis aims at focusing on blackthorn breeding, stimulating further research and continue the ongoing work, moving forward the possibilities of breeding a new fruit taxon which expands variety, drawing attention to the positive health effects of a potential functional food.</w:t>
      </w:r>
      <w:r>
        <w:rPr>
          <w:color w:val="000000"/>
          <w:sz w:val="24"/>
          <w:szCs w:val="24"/>
        </w:rPr>
        <w:br/>
        <w:t xml:space="preserve">The size of blackthorn types we examined widely ranged. Among the clones in cultivation, the type of Soroksár and S3B and Z1 clones comply with the requirements of large fruit size and fruit weight. From the samples collected in the wild, only the Bélmegyer sample meets the desired values. The Z1 clone primarily grabbed attention by large fruit size, but its exact taxonomic background is unclear.</w:t>
      </w:r>
      <w:r>
        <w:rPr>
          <w:color w:val="000000"/>
          <w:sz w:val="24"/>
          <w:szCs w:val="24"/>
        </w:rPr>
        <w:br/>
        <w:t xml:space="preserve">With some exceptions, titratable acidity of our blackthorn samples fell between 1% and 1.5%, so the results of our measurements mostly remained below the values reported in the literature. The samples of high acid content (Szolnok, Soroksári type) ripen late, later harvest date favourably influenced the extent of acidity. </w:t>
      </w:r>
      <w:r>
        <w:rPr>
          <w:color w:val="000000"/>
          <w:sz w:val="24"/>
          <w:szCs w:val="24"/>
        </w:rPr>
        <w:br/>
        <w:t xml:space="preserve">As our conclusions reflect the results of only one year of research, it is worth to carry out further investigation in order to cover the assessment of diversity of types collected in the wild. Based on these, answers could be revealed whether physical and nutritional differences between types from different places of production stem from the variation of different types or the ecological background.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02033">
    <w:multiLevelType w:val="hybridMultilevel"/>
    <w:lvl w:ilvl="0" w:tplc="41921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02033">
    <w:abstractNumId w:val="36702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126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